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简体"/>
          <w:bCs/>
          <w:sz w:val="44"/>
          <w:highlight w:val="none"/>
        </w:rPr>
      </w:pPr>
    </w:p>
    <w:p>
      <w:pPr>
        <w:spacing w:line="480" w:lineRule="exact"/>
        <w:jc w:val="center"/>
        <w:rPr>
          <w:rFonts w:hint="eastAsia" w:eastAsia="方正小标宋简体"/>
          <w:bCs/>
          <w:sz w:val="44"/>
          <w:highlight w:val="none"/>
        </w:rPr>
      </w:pPr>
    </w:p>
    <w:tbl>
      <w:tblPr>
        <w:tblStyle w:val="20"/>
        <w:tblW w:w="9375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0" w:lineRule="exact"/>
              <w:ind w:left="0" w:right="0"/>
              <w:jc w:val="distribute"/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14:textFill>
                  <w14:solidFill>
                    <w14:schemeClr w14:val="bg1"/>
                  </w14:solidFill>
                </w14:textFill>
              </w:rPr>
              <w:t>北京市昌平区人民政府</w:t>
            </w: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办公室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0" w:lineRule="exact"/>
              <w:ind w:left="0" w:right="0"/>
              <w:jc w:val="left"/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72"/>
                <w:szCs w:val="72"/>
                <w:highlight w:val="none"/>
                <w14:textFill>
                  <w14:solidFill>
                    <w14:schemeClr w14:val="bg1"/>
                  </w14:solidFill>
                </w14:textFill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0" w:lineRule="exact"/>
              <w:ind w:left="0" w:right="0"/>
              <w:jc w:val="distribute"/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62"/>
                <w:w w:val="70"/>
                <w:kern w:val="0"/>
                <w:sz w:val="94"/>
                <w:szCs w:val="94"/>
                <w:highlight w:val="none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北京未来科学城管理委员会办公室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0" w:lineRule="exact"/>
              <w:ind w:left="0" w:right="0"/>
              <w:jc w:val="distribute"/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pacing w:val="-40"/>
                <w:w w:val="70"/>
                <w:kern w:val="0"/>
                <w:sz w:val="94"/>
                <w:szCs w:val="94"/>
                <w:highlight w:val="none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/>
          <w:b w:val="0"/>
          <w:highlight w:val="none"/>
        </w:rPr>
      </w:pPr>
      <w:r>
        <w:rPr>
          <w:rFonts w:hint="eastAsia"/>
          <w:b w:val="0"/>
          <w:color w:val="auto"/>
          <w:highlight w:val="none"/>
        </w:rPr>
        <w:t>昌政</w:t>
      </w:r>
      <w:r>
        <w:rPr>
          <w:rFonts w:hint="eastAsia"/>
          <w:b w:val="0"/>
          <w:color w:val="auto"/>
          <w:highlight w:val="none"/>
          <w:lang w:eastAsia="zh-CN"/>
        </w:rPr>
        <w:t>办</w:t>
      </w:r>
      <w:r>
        <w:rPr>
          <w:rFonts w:hint="eastAsia"/>
          <w:b w:val="0"/>
          <w:color w:val="auto"/>
          <w:highlight w:val="none"/>
        </w:rPr>
        <w:t>发</w:t>
      </w:r>
      <w:r>
        <w:rPr>
          <w:rFonts w:hint="eastAsia" w:ascii="仿宋_GB2312"/>
          <w:b w:val="0"/>
          <w:color w:val="auto"/>
          <w:highlight w:val="none"/>
        </w:rPr>
        <w:t>〔20</w:t>
      </w:r>
      <w:r>
        <w:rPr>
          <w:rFonts w:hint="eastAsia" w:ascii="仿宋_GB2312"/>
          <w:b w:val="0"/>
          <w:color w:val="auto"/>
          <w:highlight w:val="none"/>
          <w:lang w:val="en-US" w:eastAsia="zh-CN"/>
        </w:rPr>
        <w:t>24</w:t>
      </w:r>
      <w:r>
        <w:rPr>
          <w:rFonts w:hint="eastAsia" w:ascii="仿宋_GB2312"/>
          <w:b w:val="0"/>
          <w:color w:val="auto"/>
          <w:highlight w:val="none"/>
        </w:rPr>
        <w:t>〕</w:t>
      </w:r>
      <w:r>
        <w:rPr>
          <w:rFonts w:hint="eastAsia" w:ascii="仿宋_GB2312"/>
          <w:b w:val="0"/>
          <w:color w:val="auto"/>
          <w:highlight w:val="none"/>
          <w:lang w:val="en-US" w:eastAsia="zh-CN"/>
        </w:rPr>
        <w:t>3</w:t>
      </w:r>
      <w:r>
        <w:rPr>
          <w:rFonts w:hint="eastAsia" w:ascii="仿宋_GB2312"/>
          <w:b w:val="0"/>
          <w:color w:val="auto"/>
          <w:highlight w:val="none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textAlignment w:val="auto"/>
        <w:rPr>
          <w:rFonts w:hint="eastAsia" w:ascii="仿宋_GB2312"/>
          <w:b w:val="0"/>
          <w:highlight w:val="none"/>
        </w:rPr>
      </w:pPr>
      <w:r>
        <w:rPr>
          <w:rFonts w:hint="eastAsia" w:eastAsia="方正小标宋简体"/>
          <w:bCs/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5590540" cy="0"/>
                <wp:effectExtent l="0" t="10795" r="0" b="1143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.25pt;margin-top:3.1pt;height:0pt;width:440.2pt;z-index:251659264;mso-width-relative:page;mso-height-relative:page;" filled="f" stroked="t" coordsize="21600,21600" o:gfxdata="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huAe0gAAAAUBAAAPAAAAAAAA&#10;AAEAIAAAACIAAABkcnMvZG93bnJldi54bWxQSwECFAAUAAAACACHTuJAVuAz1N8BAADoAwAADgAA&#10;AAAAAAABACAAAAAhAQAAZHJzL2Uyb0RvYy54bWxQSwUGAAAAAAYABgBZAQAAcgUAAAAA&#10;">
                <v:fill on="f" focussize="0,0"/>
                <v:stroke weight="1.7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</w:rPr>
        <w:t>北京市昌平区人民政府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eastAsia="zh-CN"/>
        </w:rPr>
        <w:t>北京未来科学城管理委员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eastAsia="zh-CN"/>
        </w:rPr>
        <w:t>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0"/>
        <w:rPr>
          <w:rFonts w:hint="eastAsia" w:eastAsia="方正小标宋简体"/>
          <w:bCs/>
          <w:color w:val="000000"/>
          <w:w w:val="96"/>
          <w:kern w:val="21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关于印发《昌平区支持合成生物制造产业高质量发展的若干措施（试行）》的通知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各镇人民政府、街道办事处，区政府各委、办、局（公司）：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现将《昌平区支持合成生物制造产业高质量发展的若干措施（试行）》印发给你们，请认真贯彻落实。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楷体_GB2312" w:hAnsi="楷体_GB2312" w:eastAsia="楷体_GB2312" w:cs="楷体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0"/>
        <w:rPr>
          <w:rFonts w:hint="default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-20"/>
          <w:kern w:val="0"/>
          <w:sz w:val="32"/>
          <w:szCs w:val="32"/>
          <w:highlight w:val="none"/>
        </w:rPr>
        <w:t>北京市昌平区人民政府</w:t>
      </w:r>
      <w:r>
        <w:rPr>
          <w:rFonts w:hint="eastAsia" w:ascii="楷体_GB2312" w:hAnsi="楷体_GB2312" w:eastAsia="楷体_GB2312" w:cs="楷体_GB2312"/>
          <w:snapToGrid w:val="0"/>
          <w:spacing w:val="-20"/>
          <w:kern w:val="0"/>
          <w:sz w:val="32"/>
          <w:szCs w:val="32"/>
          <w:highlight w:val="none"/>
          <w:lang w:eastAsia="zh-CN"/>
        </w:rPr>
        <w:t>办公室</w:t>
      </w:r>
      <w:r>
        <w:rPr>
          <w:rFonts w:hint="eastAsia" w:ascii="楷体_GB2312" w:hAnsi="楷体_GB2312" w:eastAsia="楷体_GB2312" w:cs="楷体_GB2312"/>
          <w:snapToGrid w:val="0"/>
          <w:spacing w:val="-20"/>
          <w:kern w:val="0"/>
          <w:sz w:val="32"/>
          <w:szCs w:val="32"/>
          <w:highlight w:val="none"/>
          <w:lang w:val="en-US" w:eastAsia="zh-CN"/>
        </w:rPr>
        <w:t xml:space="preserve">   北京未来科学城管理委员会办公室</w:t>
      </w: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</w:rPr>
        <w:t xml:space="preserve">                     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</w:rPr>
        <w:t xml:space="preserve">  20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</w:rPr>
        <w:t>日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（此件主动公开）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Toc31103"/>
      <w:bookmarkStart w:id="1" w:name="_Toc27911"/>
    </w:p>
    <w:bookmarkEnd w:id="0"/>
    <w:bookmarkEnd w:id="1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昌平区支持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合成生物制造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产业高质量发展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的若干措施（试行）</w:t>
      </w:r>
    </w:p>
    <w:p>
      <w:pPr>
        <w:pStyle w:val="1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《“十四五”生物经济发展规划》和《北京市促进未来产业创新发展实施方案》，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紧抓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北京“两区”建设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及北京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自贸试验区昌平组团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  <w:lang w:eastAsia="zh-CN"/>
        </w:rPr>
        <w:t>建设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重大机遇，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充分发挥未来科学城“攻关未来科技、发展未来产业、集聚未来人才”的优势，卡位未来新赛道，催生新质生产力，推进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产业高质量发展，打造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创新策源地和产业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区，特制定本措施。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一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推进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集聚区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建设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（一）打造高品质产业空间，统筹全域空间资源，围绕创新孵化区、转化加速区、高端制造区、总部办公区“四大功能组团”，梯次推进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产业集聚区</w:t>
      </w:r>
      <w:r>
        <w:rPr>
          <w:rFonts w:hint="eastAsia" w:ascii="仿宋_GB2312" w:eastAsia="仿宋_GB2312"/>
          <w:sz w:val="32"/>
          <w:szCs w:val="32"/>
          <w:highlight w:val="none"/>
        </w:rPr>
        <w:t>规划建设，近期利用未来科学城东、西区存量空间先行实施起步区项目，为聚集发展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产业筑牢空间保障。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、中关村昌平园管委会、未来城公司、昌发展公司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（二）强化用地支撑保障，用好全区统筹的用地规划指标和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年度供地计划指标</w:t>
      </w:r>
      <w:r>
        <w:rPr>
          <w:rFonts w:hint="eastAsia" w:ascii="仿宋_GB2312" w:eastAsia="仿宋_GB2312"/>
          <w:sz w:val="32"/>
          <w:szCs w:val="32"/>
          <w:highlight w:val="none"/>
        </w:rPr>
        <w:t>，匹配各功能组团及重点项目用地需求；综合采取产业用地弹性年期出让、先租后让等供地方式，推行“拿地即开工”，降低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企业用地成本，加快项目落地进度。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（牵头单位：市规自委昌平分局、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区住房城乡建设委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、未来城公司）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（三）促进产城融合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  <w:highlight w:val="none"/>
        </w:rPr>
        <w:t>，结合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产业集聚区</w:t>
      </w:r>
      <w:r>
        <w:rPr>
          <w:rFonts w:hint="eastAsia" w:ascii="仿宋_GB2312" w:eastAsia="仿宋_GB2312"/>
          <w:sz w:val="32"/>
          <w:szCs w:val="32"/>
          <w:highlight w:val="none"/>
        </w:rPr>
        <w:t>实施时序，优先保障配套基础设施和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eastAsia="仿宋_GB2312"/>
          <w:sz w:val="32"/>
          <w:szCs w:val="32"/>
          <w:highlight w:val="none"/>
        </w:rPr>
        <w:t>服务设施建设，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eastAsia="仿宋_GB2312"/>
          <w:sz w:val="32"/>
          <w:szCs w:val="32"/>
          <w:highlight w:val="none"/>
        </w:rPr>
        <w:t>产业综合承载能力。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区发展改革委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区城市管理委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，各相关行业主管部门）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（四）鼓励社会专业力量参与，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深化试点</w:t>
      </w:r>
      <w:r>
        <w:rPr>
          <w:rFonts w:hint="eastAsia" w:ascii="仿宋_GB2312" w:eastAsia="仿宋_GB2312"/>
          <w:sz w:val="32"/>
          <w:szCs w:val="32"/>
          <w:highlight w:val="none"/>
        </w:rPr>
        <w:t>社会资本与区属国有企业合作共建产业园区新模式，促进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产业园高品质建设、专业化运营。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、市规自委昌平分局、未来城公司、昌发展公司）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促进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产业集群发展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（五）支持总部企业落地发展，对世界和中国500强企业、境内外上市企业等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领域头部企业在昌平区新设立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迁入）</w:t>
      </w:r>
      <w:r>
        <w:rPr>
          <w:rFonts w:hint="eastAsia" w:ascii="仿宋_GB2312" w:eastAsia="仿宋_GB2312"/>
          <w:sz w:val="32"/>
          <w:szCs w:val="32"/>
          <w:highlight w:val="none"/>
        </w:rPr>
        <w:t>总部或地区总部、功能型总部的，按实缴注册资本给予一次性奖励。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（六）支持创新型企业聚集发展，对新引进或新设立的高潜力、高成长创新型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企业，按累计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股权</w:t>
      </w:r>
      <w:r>
        <w:rPr>
          <w:rFonts w:hint="eastAsia" w:ascii="仿宋_GB2312" w:eastAsia="仿宋_GB2312"/>
          <w:sz w:val="32"/>
          <w:szCs w:val="32"/>
          <w:highlight w:val="none"/>
        </w:rPr>
        <w:t>融资规模给予一次性奖励。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（七）支持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企业做强做精做优</w:t>
      </w:r>
      <w:r>
        <w:rPr>
          <w:rFonts w:hint="eastAsia" w:ascii="仿宋_GB2312" w:eastAsia="仿宋_GB2312"/>
          <w:sz w:val="32"/>
          <w:szCs w:val="32"/>
          <w:highlight w:val="none"/>
        </w:rPr>
        <w:t>，对获评独角兽企业、国家高新技术企业、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  <w:t>专精特新“小巨人”企业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专精特新中小企业的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企业，分别给予一次性资金奖励；对在国内外资本市场成功上市的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企业，分阶段予以资金支持。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、区金融办）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三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提升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产业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创新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能级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（八）拓展强化产业发展创新引擎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发挥北京市和昌平区战略科技力量集聚优势，鼓励支持重点高校、科研机构与领军企业合作，组建国家、北京市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技术创新中心，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引领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技术创新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与变革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牵头单位：未来科学城管委会（生命园管委会）、区科委、区教委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九）支持企业加强创新能力建设，对获批国家制造业创新中心、技术创新示范企业、企业技术中心、工业设计中心和北京市产业创新中心、企业技术中心、高精尖产业设计中心、工程研究中心等国家级、市级资质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企业，分别给予一次性资金奖励。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（十）支持科研设施设备开放共享，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依托昌平科研仪器共享服务等平台</w:t>
      </w:r>
      <w:r>
        <w:rPr>
          <w:rFonts w:hint="eastAsia" w:ascii="仿宋_GB2312" w:eastAsia="仿宋_GB2312"/>
          <w:sz w:val="32"/>
          <w:szCs w:val="32"/>
          <w:highlight w:val="none"/>
        </w:rPr>
        <w:t>，鼓励引导科技基础设施及科研仪器设备向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领域企业开放，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建立开放共享的科研设施设备网络平台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中关村昌平园管委会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昌发展公司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四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激发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企业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创新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活力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（十一）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支持企业开展科研攻关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鼓励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企业积极承接国家和北京市重大专项，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或与高校、科研机构共同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参与国家、北京市关键核心技术攻关“揭榜挂帅”，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认定后给予一定比例的配套资金支持。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区发展改革委、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未来科学城管委会（生命园管委会）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（十二）</w:t>
      </w:r>
      <w:r>
        <w:rPr>
          <w:rFonts w:hint="eastAsia" w:ascii="仿宋_GB2312" w:eastAsia="仿宋_GB2312"/>
          <w:sz w:val="32"/>
          <w:szCs w:val="32"/>
          <w:highlight w:val="none"/>
        </w:rPr>
        <w:t>支持企业加大研发投入，对符合条件的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企业，认定后给予一定比例的研发经费资助。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楷体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（十三）支持企业打造核心竞争优势，依托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  <w:shd w:val="clear" w:color="auto" w:fill="FFFFFF"/>
        </w:rPr>
        <w:t>全国质量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强区示范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  <w:shd w:val="clear" w:color="auto" w:fill="FFFFFF"/>
        </w:rPr>
        <w:t>城区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国家知识产权强区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建设，鼓励引导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企业牵头或参与创制国际标准、国家标准、行业标准和地方标准，健全完善知识产权保护和服务体系。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牵头单位：区市场监管局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中关村昌平园管委会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加速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sz w:val="32"/>
          <w:szCs w:val="32"/>
          <w:highlight w:val="none"/>
        </w:rPr>
        <w:t>产业项目落地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（十四）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eastAsia="仿宋_GB2312"/>
          <w:sz w:val="32"/>
          <w:szCs w:val="32"/>
          <w:highlight w:val="none"/>
        </w:rPr>
        <w:t>产业化项目落地，对总投资达到一定规模或具有全局性、战略性的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合成生物制造领域</w:t>
      </w:r>
      <w:r>
        <w:rPr>
          <w:rFonts w:hint="eastAsia" w:ascii="仿宋_GB2312" w:eastAsia="仿宋_GB2312"/>
          <w:sz w:val="32"/>
          <w:szCs w:val="32"/>
          <w:highlight w:val="none"/>
        </w:rPr>
        <w:t>重大项目，认定后可按照固定资产投资的一定比例给予资金支持。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（十五）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支持企业扩能提质升级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鼓励合成生物制造企业</w:t>
      </w:r>
      <w:r>
        <w:rPr>
          <w:rFonts w:hint="eastAsia" w:ascii="仿宋_GB2312" w:eastAsia="仿宋_GB2312"/>
          <w:sz w:val="32"/>
          <w:szCs w:val="32"/>
          <w:highlight w:val="none"/>
        </w:rPr>
        <w:t>开展智能产线、数字化车间、智能工厂等技术改造，申报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bidi="ar"/>
        </w:rPr>
        <w:t>绿色工厂、绿色供应链、单项冠军示范企业、单项冠军产品等称号，认定后可按照项目固定资产投资的一定比例给予资金支持；对新获评国家智能制造标杆、世界经济论坛灯塔工厂的企业，分别给予一次性资金奖励。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highlight w:val="none"/>
          <w:lang w:bidi="ar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highlight w:val="none"/>
          <w:lang w:bidi="ar"/>
        </w:rPr>
        <w:t>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（十六）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支持数字经济赋能企业发展，依托</w:t>
      </w:r>
      <w:r>
        <w:rPr>
          <w:rFonts w:hint="eastAsia" w:ascii="仿宋_GB2312" w:eastAsia="仿宋_GB2312"/>
          <w:sz w:val="32"/>
          <w:szCs w:val="32"/>
          <w:highlight w:val="none"/>
        </w:rPr>
        <w:t>全国数字化转型试点城市建设，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鼓励引导</w:t>
      </w:r>
      <w:r>
        <w:rPr>
          <w:rFonts w:hint="eastAsia" w:ascii="仿宋_GB2312" w:eastAsia="仿宋_GB2312"/>
          <w:sz w:val="32"/>
          <w:szCs w:val="32"/>
          <w:highlight w:val="none"/>
        </w:rPr>
        <w:t>具备条件的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企业开展数字化转型升级。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highlight w:val="none"/>
          <w:lang w:bidi="ar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highlight w:val="none"/>
          <w:lang w:bidi="ar"/>
        </w:rPr>
        <w:t>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布局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产业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服务平台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（十七）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支持关键共性平台建设，</w:t>
      </w:r>
      <w:r>
        <w:rPr>
          <w:rFonts w:hint="eastAsia" w:ascii="仿宋_GB2312" w:eastAsia="仿宋_GB2312"/>
          <w:sz w:val="32"/>
          <w:szCs w:val="32"/>
          <w:highlight w:val="none"/>
        </w:rPr>
        <w:t>按照“政府引导、市场运作”的原则，围绕产业共性需求，聚焦蛋白设计、菌株构建、工艺测试等重点环节，布局建设一批关键性产业公共服务平台，有效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产业发展，认定后可按照实际建设投入的一定比例给予资金支持。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（十八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）支持专业服务机构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大力</w:t>
      </w:r>
      <w:r>
        <w:rPr>
          <w:rFonts w:hint="eastAsia" w:ascii="仿宋_GB2312" w:eastAsia="仿宋_GB2312"/>
          <w:sz w:val="32"/>
          <w:szCs w:val="32"/>
          <w:highlight w:val="none"/>
        </w:rPr>
        <w:t>引进培育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领域CRO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highlight w:val="none"/>
        </w:rPr>
        <w:t>CMO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highlight w:val="none"/>
        </w:rPr>
        <w:t>CDMO等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市场化、专业化服务</w:t>
      </w:r>
      <w:r>
        <w:rPr>
          <w:rFonts w:hint="eastAsia" w:ascii="仿宋_GB2312" w:eastAsia="仿宋_GB2312"/>
          <w:sz w:val="32"/>
          <w:szCs w:val="32"/>
          <w:highlight w:val="none"/>
        </w:rPr>
        <w:t>机构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和平台</w:t>
      </w:r>
      <w:r>
        <w:rPr>
          <w:rFonts w:hint="eastAsia" w:ascii="仿宋_GB2312" w:eastAsia="仿宋_GB2312"/>
          <w:sz w:val="32"/>
          <w:szCs w:val="32"/>
          <w:highlight w:val="none"/>
        </w:rPr>
        <w:t>，认定后可按照年度实际服务金额的一定比例给予资金支持。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（十九）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支持孵化加速平台建设，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积极引进和培育</w:t>
      </w:r>
      <w:r>
        <w:rPr>
          <w:rFonts w:hint="eastAsia" w:ascii="仿宋_GB2312" w:eastAsia="仿宋_GB2312"/>
          <w:sz w:val="32"/>
          <w:szCs w:val="32"/>
          <w:highlight w:val="none"/>
        </w:rPr>
        <w:t>具有专业特色的高质量孵化器、加速器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高水平运营团队，畅通发现、孵化、转化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</w:rPr>
        <w:t>产业化全链条</w:t>
      </w:r>
      <w:r>
        <w:rPr>
          <w:rFonts w:hint="eastAsia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牵头单位：区科委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中关村昌平园管委会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构建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金融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服务体系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（二十）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发挥政府产业基金引领带动作用，</w:t>
      </w:r>
      <w:r>
        <w:rPr>
          <w:rFonts w:hint="eastAsia" w:ascii="仿宋_GB2312" w:eastAsia="仿宋_GB2312"/>
          <w:sz w:val="32"/>
          <w:szCs w:val="32"/>
          <w:highlight w:val="none"/>
        </w:rPr>
        <w:t>充分利用各级政府产业投资引导基金和直投基金，研究设立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产业基金，采取“招投联动”等方式，精准加大对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领域的投资力度。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（牵头单位：区财政局、昌发展公司、昌鑫公司）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（二十一）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筑牢多元化投融资保障机制，</w:t>
      </w:r>
      <w:r>
        <w:rPr>
          <w:rFonts w:hint="eastAsia" w:ascii="仿宋_GB2312" w:eastAsia="仿宋_GB2312"/>
          <w:sz w:val="32"/>
          <w:szCs w:val="32"/>
          <w:highlight w:val="none"/>
        </w:rPr>
        <w:t>依托昌平科技产业母基金群，支持引导各类市场化基金聚集发展，鼓励国有平台公司联合投资机构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围绕合成生物制造领域</w:t>
      </w:r>
      <w:r>
        <w:rPr>
          <w:rFonts w:hint="eastAsia" w:ascii="仿宋_GB2312" w:eastAsia="仿宋_GB2312"/>
          <w:sz w:val="32"/>
          <w:szCs w:val="32"/>
          <w:highlight w:val="none"/>
        </w:rPr>
        <w:t>合作成立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市场化、</w:t>
      </w:r>
      <w:r>
        <w:rPr>
          <w:rFonts w:hint="eastAsia" w:ascii="仿宋_GB2312" w:eastAsia="仿宋_GB2312"/>
          <w:sz w:val="32"/>
          <w:szCs w:val="32"/>
          <w:highlight w:val="none"/>
        </w:rPr>
        <w:t>专业化基金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（牵头单位：区金融办、昌发展公司、未来城公司、昌鑫公司）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（二十二）深化与银行、保险、担保等各类金融机构合作，鼓励在知识产权抵押、产品责任保险、融资增信等方面加大产品开发创新力度，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企业利用多种金融工具筹集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资金、降低成本，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满足不同阶段企业融资需求。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（牵头单位：区金融办）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八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培育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产业人才梯队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（二十三）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构筑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创新人才高地，</w:t>
      </w:r>
      <w:r>
        <w:rPr>
          <w:rFonts w:hint="eastAsia" w:ascii="仿宋_GB2312" w:eastAsia="仿宋_GB2312"/>
          <w:sz w:val="32"/>
          <w:szCs w:val="32"/>
          <w:highlight w:val="none"/>
        </w:rPr>
        <w:t>发挥昌平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“校城融合”优势，依托驻昌高校、科研机构和重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大项目</w:t>
      </w:r>
      <w:r>
        <w:rPr>
          <w:rFonts w:hint="eastAsia" w:ascii="仿宋_GB2312" w:eastAsia="仿宋_GB2312"/>
          <w:sz w:val="32"/>
          <w:szCs w:val="32"/>
          <w:highlight w:val="none"/>
        </w:rPr>
        <w:t>，着力引进和培育顶尖科学家、卓越工程师等高层次人才；鼓励支持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相关学科建设，开展应用型、交叉学科型和紧缺人才培养。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区教委、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区委组织部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（二十四）支持企业招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才引才育才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，加强人力资源公共服务体系建设，推广“科技副总”等柔性引才机制，鼓励引导企业与高校、科研机构、职业技术学校等建立人才产教融合实训基地，加大高技能、复合型产业人才和工匠队伍引培力度。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（牵头单位：区人力社保局、区科委、区教委）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（二十五）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人才服务保障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领域纳入“昌聚工程”人才政策支持范围，对评选认定的人才予以综合奖励；统筹落实相关人才在引进落户、住房保障、医疗服务、子女教育等方面的保障政策。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（牵头单位：区委组织部、区人力社保局，各相关行业主管部门）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九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支持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应用场景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建设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（二十六）支持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新型应用场景建设，鼓励</w:t>
      </w:r>
      <w:r>
        <w:rPr>
          <w:rFonts w:hint="eastAsia" w:ascii="仿宋_GB2312" w:eastAsia="仿宋_GB2312"/>
          <w:sz w:val="32"/>
          <w:szCs w:val="32"/>
          <w:highlight w:val="none"/>
        </w:rPr>
        <w:t>符合条件的项目申报北京市重点应用场景示范项目，加强对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领域应用场景的顶层设计、项目发掘和引导扶持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围绕市政、文旅、商业等重点领域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场景</w:t>
      </w:r>
      <w:r>
        <w:rPr>
          <w:rFonts w:hint="eastAsia" w:ascii="仿宋_GB2312" w:eastAsia="仿宋_GB2312"/>
          <w:sz w:val="32"/>
          <w:szCs w:val="32"/>
          <w:highlight w:val="none"/>
        </w:rPr>
        <w:t>，支持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新技术、新产品和新服务率先试点示范。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区城市管理委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、区文旅局、区商务局，各相关行业主管部门）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（二十七）</w:t>
      </w:r>
      <w:r>
        <w:rPr>
          <w:rFonts w:hint="eastAsia" w:ascii="仿宋_GB2312" w:eastAsia="仿宋_GB2312"/>
          <w:sz w:val="32"/>
          <w:szCs w:val="32"/>
          <w:highlight w:val="none"/>
        </w:rPr>
        <w:t>搭建产业链供需对接平台，促进大中小企业融通发展，鼓励相关领域链主企业采购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中小企业产品或委托其加工生产，认定后按照采购金额或加工费的一定比例予以资金支持。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（二十八）支持“首系列”产品攻关入链，鼓励具备条件的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highlight w:val="none"/>
        </w:rPr>
        <w:t>企业申报国家和北京市“首台套、首批次、首版次”等政策支持，认定后给予一次性配套资金奖励。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（牵头单位：区科委、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eastAsia="zh-CN"/>
        </w:rPr>
        <w:t>区经济和信息化局、区发展改革委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（二十九）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加大宣传推广力度，</w:t>
      </w:r>
      <w:r>
        <w:rPr>
          <w:rFonts w:hint="eastAsia" w:ascii="仿宋_GB2312" w:eastAsia="仿宋_GB2312"/>
          <w:sz w:val="32"/>
          <w:szCs w:val="32"/>
          <w:highlight w:val="none"/>
        </w:rPr>
        <w:t>加强对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优质产品和技术的宣传与科普，提高公众认知度和市场认可度。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（牵头单位：区委宣传部、区科委、区科协）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优化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产业发展环境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（三十）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强化政策与监管服务创新，</w:t>
      </w:r>
      <w:r>
        <w:rPr>
          <w:rFonts w:hint="eastAsia" w:ascii="仿宋_GB2312" w:eastAsia="仿宋_GB2312"/>
          <w:sz w:val="32"/>
          <w:szCs w:val="32"/>
          <w:highlight w:val="none"/>
        </w:rPr>
        <w:t>依托国家服务业扩大开放综合示范区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ascii="仿宋_GB2312" w:eastAsia="仿宋_GB2312"/>
          <w:sz w:val="32"/>
          <w:szCs w:val="32"/>
          <w:highlight w:val="none"/>
        </w:rPr>
        <w:t>中国(北京)自由贸易试验区</w:t>
      </w:r>
      <w:r>
        <w:rPr>
          <w:rFonts w:hint="eastAsia" w:ascii="仿宋_GB2312" w:eastAsia="仿宋_GB2312"/>
          <w:sz w:val="32"/>
          <w:szCs w:val="32"/>
          <w:highlight w:val="none"/>
        </w:rPr>
        <w:t>建设，聚焦生物安全、伦理监管、市场准入、环境评价等重点领域和关键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环节</w:t>
      </w:r>
      <w:r>
        <w:rPr>
          <w:rFonts w:hint="eastAsia" w:ascii="仿宋_GB2312" w:eastAsia="仿宋_GB2312"/>
          <w:sz w:val="32"/>
          <w:szCs w:val="32"/>
          <w:highlight w:val="none"/>
        </w:rPr>
        <w:t>，积极承接国家、北京市先行先试和制度创新试点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加大相关领域政策研究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eastAsia="仿宋_GB2312"/>
          <w:sz w:val="32"/>
          <w:szCs w:val="32"/>
          <w:highlight w:val="none"/>
        </w:rPr>
        <w:t>和培训力度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加强专业监管服务能力建设。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牵头单位：区商务局（“两区”办）、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区发展改革委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区卫生健康委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、区农业农村局、区市场监管局、区生态环境局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（三十一）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产业生态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体系建设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鼓励具备条件的企业和机构牵头组建产业联盟、创新联合体，促进各类产业要素高效流动；支持举办专业论坛、展会、创新创业赛事等高品质活动，搭建产业交流与合作平台；积极引入产业高端智库，为产业发展提供智力支持和专业咨询，依据合作方资质及合作内容支付相关费用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牵头单位：未来科学城管委会（生命园管委会）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（三十二）加大政策统筹支持力度，依托国家、北京市和昌平区三级产业政策体系，鼓励支持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合成生物制造</w:t>
      </w:r>
      <w:r>
        <w:rPr>
          <w:rFonts w:hint="eastAsia" w:ascii="仿宋_GB2312" w:eastAsia="仿宋_GB2312"/>
          <w:sz w:val="32"/>
          <w:szCs w:val="32"/>
          <w:highlight w:val="none"/>
        </w:rPr>
        <w:t>企业根据各自不同发展领域和优势特色，申报各级相关产业政策支持，形成政策叠加集成效应。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牵头单位：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区发展改革委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、区科委、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区经济和信息化局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、未来科学城管委会（生命园管委会），各相关行业主管部门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]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eastAsia="zh-CN"/>
        </w:rPr>
        <w:t>十一、附则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本措施自发布之日起试行，试行期三年。试行期间，如遇国家、北京市相关政策调整，将同步予以相应调整。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280" w:firstLineChars="100"/>
        <w:textAlignment w:val="auto"/>
        <w:outlineLvl w:val="9"/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652135" cy="0"/>
                <wp:effectExtent l="0" t="6350" r="0" b="635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2pt;height:0pt;width:445.05pt;mso-position-horizontal-relative:margin;z-index:251660288;mso-width-relative:page;mso-height-relative:page;" filled="f" stroked="t" coordsize="21600,21600" o:gfxdata="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rnqlzwAA&#10;AAQBAAAPAAAAAAAAAAEAIAAAACIAAABkcnMvZG93bnJldi54bWxQSwECFAAUAAAACACHTuJA4rw1&#10;ou4BAADrAwAADgAAAAAAAAABACAAAAAeAQAAZHJzL2Uyb0RvYy54bWxQSwUGAAAAAAYABgBZAQAA&#10;fg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>抄送：区委办，区人大办，区政协办，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  <w:lang w:eastAsia="zh-CN"/>
        </w:rPr>
        <w:t>区监委，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>区法院，区检察院。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line="54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478155</wp:posOffset>
                </wp:positionV>
                <wp:extent cx="1143000" cy="495300"/>
                <wp:effectExtent l="0" t="0" r="0" b="0"/>
                <wp:wrapNone/>
                <wp:docPr id="5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83.5pt;margin-top:37.65pt;height:39pt;width:90pt;z-index:251663360;mso-width-relative:page;mso-height-relative:page;" fillcolor="#FFFFFF" filled="t" stroked="f" coordsize="21600,21600" o:gfxdata="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Pml9zW&#10;AAAACgEAAA8AAAAAAAAAAQAgAAAAIgAAAGRycy9kb3ducmV2LnhtbFBLAQIUABQAAAAIAIdO4kCI&#10;Ey0p6QEAAMIDAAAOAAAAAAAAAAEAIAAAACUBAABkcnMvZTJvRG9jLnhtbFBLBQYAAAAABgAGAFkB&#10;AACA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5652135" cy="0"/>
                <wp:effectExtent l="0" t="4445" r="0" b="508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4.55pt;height:0pt;width:445.05pt;mso-position-horizontal-relative:margin;z-index:251661312;mso-width-relative:page;mso-height-relative:page;" filled="f" stroked="t" coordsize="21600,21600" o:gfxdata="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64&#10;pQTUAAAABAEAAA8AAAAAAAAAAQAgAAAAIgAAAGRycy9kb3ducmV2LnhtbFBLAQIUABQAAAAIAIdO&#10;4kDyElDf7gEAAOoDAAAOAAAAAAAAAAEAIAAAACMBAABkcnMvZTJvRG9jLnhtbFBLBQYAAAAABgAG&#10;AFkBAACDBQAAAAA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393700</wp:posOffset>
                </wp:positionV>
                <wp:extent cx="5652135" cy="0"/>
                <wp:effectExtent l="0" t="6350" r="0" b="6350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1pt;height:0pt;width:445.05pt;mso-position-horizontal-relative:margin;z-index:251662336;mso-width-relative:page;mso-height-relative:page;" filled="f" stroked="t" coordsize="21600,21600" o:gfxdata="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L0DP&#10;0QAAAAYBAAAPAAAAAAAAAAEAIAAAACIAAABkcnMvZG93bnJldi54bWxQSwECFAAUAAAACACHTuJA&#10;KaD8E+8BAADrAwAADgAAAAAAAAABACAAAAAgAQAAZHJzL2Uyb0RvYy54bWxQSwUGAAAAAAYABgBZ&#10;AQAAgQ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 xml:space="preserve">　北京市昌平区人民政府办公室　         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 xml:space="preserve"> 20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eastAsia="仿宋_GB2312"/>
          <w:bCs/>
          <w:color w:val="000000"/>
          <w:sz w:val="28"/>
          <w:szCs w:val="28"/>
          <w:highlight w:val="none"/>
        </w:rPr>
        <w:t>日印发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31" w:bottom="1985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829310" cy="20129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5.25pt;height:15.85pt;width:65.3pt;mso-position-horizontal:outside;mso-position-horizontal-relative:margin;z-index:251659264;mso-width-relative:page;mso-height-relative:page;" filled="f" stroked="f" coordsize="21600,21600" o:gfxdata="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QCCKtYAAAAHAQAADwAAAAAA&#10;AAABACAAAAAiAAAAZHJzL2Rvd25yZXYueG1sUEsBAhQAFAAAAAgAh07iQEdayZDcAQAAsgMAAA4A&#10;AAAAAAAAAQAgAAAAJ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-67310</wp:posOffset>
              </wp:positionV>
              <wp:extent cx="851535" cy="22288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0.05pt;margin-top:-5.3pt;height:17.55pt;width:67.05pt;mso-position-horizontal-relative:margin;z-index:251660288;mso-width-relative:page;mso-height-relative:page;" filled="f" stroked="f" coordsize="21600,21600" o:gfxdata="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pfW69UAAAAHAQAADwAAAAAA&#10;AAABACAAAAAiAAAAZHJzL2Rvd25yZXYueG1sUEsBAhQAFAAAAAgAh07iQInvk9TdAQAAs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OTYyM2ZmM2JkNzUyNGU1MWFkOTg1NDBiZjYwYTgifQ=="/>
  </w:docVars>
  <w:rsids>
    <w:rsidRoot w:val="00857CF2"/>
    <w:rsid w:val="00017C21"/>
    <w:rsid w:val="000211F3"/>
    <w:rsid w:val="000461F2"/>
    <w:rsid w:val="000679F1"/>
    <w:rsid w:val="000746EF"/>
    <w:rsid w:val="00080080"/>
    <w:rsid w:val="000A17A6"/>
    <w:rsid w:val="000A63F4"/>
    <w:rsid w:val="000D2D45"/>
    <w:rsid w:val="000D7F24"/>
    <w:rsid w:val="000E18CF"/>
    <w:rsid w:val="000F1B17"/>
    <w:rsid w:val="000F28BD"/>
    <w:rsid w:val="000F3CF0"/>
    <w:rsid w:val="001032D1"/>
    <w:rsid w:val="00106AD8"/>
    <w:rsid w:val="001164D1"/>
    <w:rsid w:val="001246EE"/>
    <w:rsid w:val="00131F33"/>
    <w:rsid w:val="001376DA"/>
    <w:rsid w:val="00137E9F"/>
    <w:rsid w:val="001402F2"/>
    <w:rsid w:val="00142595"/>
    <w:rsid w:val="00145921"/>
    <w:rsid w:val="00145BC1"/>
    <w:rsid w:val="001523C9"/>
    <w:rsid w:val="00160435"/>
    <w:rsid w:val="00164789"/>
    <w:rsid w:val="001648A0"/>
    <w:rsid w:val="001670DC"/>
    <w:rsid w:val="00195066"/>
    <w:rsid w:val="001A0A04"/>
    <w:rsid w:val="001C281C"/>
    <w:rsid w:val="001C778E"/>
    <w:rsid w:val="001D7686"/>
    <w:rsid w:val="001E14E8"/>
    <w:rsid w:val="001E2A02"/>
    <w:rsid w:val="00202C70"/>
    <w:rsid w:val="00212708"/>
    <w:rsid w:val="0024231A"/>
    <w:rsid w:val="00244E42"/>
    <w:rsid w:val="00255133"/>
    <w:rsid w:val="00255E8B"/>
    <w:rsid w:val="00263252"/>
    <w:rsid w:val="002706CE"/>
    <w:rsid w:val="00292BD7"/>
    <w:rsid w:val="002A26E3"/>
    <w:rsid w:val="002B35C4"/>
    <w:rsid w:val="002C7CF4"/>
    <w:rsid w:val="0030193E"/>
    <w:rsid w:val="003060C5"/>
    <w:rsid w:val="00312803"/>
    <w:rsid w:val="003327EC"/>
    <w:rsid w:val="0033426F"/>
    <w:rsid w:val="003531B8"/>
    <w:rsid w:val="0035689E"/>
    <w:rsid w:val="00363B8D"/>
    <w:rsid w:val="003B03EA"/>
    <w:rsid w:val="003B093E"/>
    <w:rsid w:val="003B2835"/>
    <w:rsid w:val="003B6DD0"/>
    <w:rsid w:val="003C1288"/>
    <w:rsid w:val="003F4391"/>
    <w:rsid w:val="003F6C0A"/>
    <w:rsid w:val="003F793A"/>
    <w:rsid w:val="00403AED"/>
    <w:rsid w:val="00404678"/>
    <w:rsid w:val="00404CBC"/>
    <w:rsid w:val="004226EB"/>
    <w:rsid w:val="00444861"/>
    <w:rsid w:val="00454198"/>
    <w:rsid w:val="00462002"/>
    <w:rsid w:val="004624D4"/>
    <w:rsid w:val="00473FC4"/>
    <w:rsid w:val="00480572"/>
    <w:rsid w:val="00491CB3"/>
    <w:rsid w:val="00493AEB"/>
    <w:rsid w:val="004A48B5"/>
    <w:rsid w:val="004A6184"/>
    <w:rsid w:val="004B3827"/>
    <w:rsid w:val="004E6BAE"/>
    <w:rsid w:val="00504360"/>
    <w:rsid w:val="005077DA"/>
    <w:rsid w:val="00507804"/>
    <w:rsid w:val="005271C8"/>
    <w:rsid w:val="00540316"/>
    <w:rsid w:val="00544CD4"/>
    <w:rsid w:val="00552480"/>
    <w:rsid w:val="00564ED6"/>
    <w:rsid w:val="00566CFC"/>
    <w:rsid w:val="005707A2"/>
    <w:rsid w:val="00574DE5"/>
    <w:rsid w:val="005838C4"/>
    <w:rsid w:val="00583C5A"/>
    <w:rsid w:val="005A493A"/>
    <w:rsid w:val="005B5AE0"/>
    <w:rsid w:val="005D49B3"/>
    <w:rsid w:val="005D4B71"/>
    <w:rsid w:val="005E21DA"/>
    <w:rsid w:val="005E44B0"/>
    <w:rsid w:val="005F4B6C"/>
    <w:rsid w:val="00600864"/>
    <w:rsid w:val="006053F4"/>
    <w:rsid w:val="00624226"/>
    <w:rsid w:val="006255A2"/>
    <w:rsid w:val="00634DCA"/>
    <w:rsid w:val="00646ECF"/>
    <w:rsid w:val="0066584C"/>
    <w:rsid w:val="00673C09"/>
    <w:rsid w:val="006A1B0A"/>
    <w:rsid w:val="006B1A13"/>
    <w:rsid w:val="006C453C"/>
    <w:rsid w:val="006C78CC"/>
    <w:rsid w:val="006D5CAA"/>
    <w:rsid w:val="006D7E4A"/>
    <w:rsid w:val="006E0830"/>
    <w:rsid w:val="006F2367"/>
    <w:rsid w:val="00717F03"/>
    <w:rsid w:val="00724CB6"/>
    <w:rsid w:val="00734C1D"/>
    <w:rsid w:val="007373BE"/>
    <w:rsid w:val="007377FD"/>
    <w:rsid w:val="0074061D"/>
    <w:rsid w:val="007463D8"/>
    <w:rsid w:val="00750D1D"/>
    <w:rsid w:val="00757485"/>
    <w:rsid w:val="00757F6D"/>
    <w:rsid w:val="00761D0F"/>
    <w:rsid w:val="00766599"/>
    <w:rsid w:val="00770F52"/>
    <w:rsid w:val="00772580"/>
    <w:rsid w:val="00797A5E"/>
    <w:rsid w:val="007A0DBB"/>
    <w:rsid w:val="007A187F"/>
    <w:rsid w:val="007A3BDF"/>
    <w:rsid w:val="007D0733"/>
    <w:rsid w:val="007F2039"/>
    <w:rsid w:val="007F2AC2"/>
    <w:rsid w:val="007F46C9"/>
    <w:rsid w:val="007F5F6C"/>
    <w:rsid w:val="008049FD"/>
    <w:rsid w:val="00804AC4"/>
    <w:rsid w:val="0080741A"/>
    <w:rsid w:val="00815C29"/>
    <w:rsid w:val="0082101D"/>
    <w:rsid w:val="00821748"/>
    <w:rsid w:val="00826E51"/>
    <w:rsid w:val="008565B8"/>
    <w:rsid w:val="00857CF2"/>
    <w:rsid w:val="008662D5"/>
    <w:rsid w:val="0086754A"/>
    <w:rsid w:val="008D34E3"/>
    <w:rsid w:val="008D6B31"/>
    <w:rsid w:val="008D6FA6"/>
    <w:rsid w:val="008E3CAA"/>
    <w:rsid w:val="008F4778"/>
    <w:rsid w:val="0092067D"/>
    <w:rsid w:val="0092102A"/>
    <w:rsid w:val="00921376"/>
    <w:rsid w:val="00923E56"/>
    <w:rsid w:val="00925F17"/>
    <w:rsid w:val="0093707C"/>
    <w:rsid w:val="0094186E"/>
    <w:rsid w:val="009435D1"/>
    <w:rsid w:val="00960254"/>
    <w:rsid w:val="00964430"/>
    <w:rsid w:val="00964F26"/>
    <w:rsid w:val="00966DA4"/>
    <w:rsid w:val="00975050"/>
    <w:rsid w:val="00975A53"/>
    <w:rsid w:val="00980CDB"/>
    <w:rsid w:val="00981AD9"/>
    <w:rsid w:val="0098342B"/>
    <w:rsid w:val="00983BC1"/>
    <w:rsid w:val="009859E7"/>
    <w:rsid w:val="00986ED7"/>
    <w:rsid w:val="009C2025"/>
    <w:rsid w:val="009C4A50"/>
    <w:rsid w:val="009F1035"/>
    <w:rsid w:val="009F29EC"/>
    <w:rsid w:val="00A0451A"/>
    <w:rsid w:val="00A107D5"/>
    <w:rsid w:val="00A32CF6"/>
    <w:rsid w:val="00A40325"/>
    <w:rsid w:val="00A40BBE"/>
    <w:rsid w:val="00A540FB"/>
    <w:rsid w:val="00A5417E"/>
    <w:rsid w:val="00A55F61"/>
    <w:rsid w:val="00A65907"/>
    <w:rsid w:val="00A74E7C"/>
    <w:rsid w:val="00A90792"/>
    <w:rsid w:val="00A96248"/>
    <w:rsid w:val="00AA0D20"/>
    <w:rsid w:val="00AA2AB4"/>
    <w:rsid w:val="00AB241C"/>
    <w:rsid w:val="00AC05C5"/>
    <w:rsid w:val="00AC46A5"/>
    <w:rsid w:val="00AC4A6F"/>
    <w:rsid w:val="00AC6456"/>
    <w:rsid w:val="00AD2542"/>
    <w:rsid w:val="00AD41FB"/>
    <w:rsid w:val="00AE16A2"/>
    <w:rsid w:val="00AE50A0"/>
    <w:rsid w:val="00B027C4"/>
    <w:rsid w:val="00B13E7C"/>
    <w:rsid w:val="00B1512E"/>
    <w:rsid w:val="00B22842"/>
    <w:rsid w:val="00B25584"/>
    <w:rsid w:val="00B4280E"/>
    <w:rsid w:val="00B50576"/>
    <w:rsid w:val="00B520D1"/>
    <w:rsid w:val="00B71095"/>
    <w:rsid w:val="00B74263"/>
    <w:rsid w:val="00B85439"/>
    <w:rsid w:val="00B915E4"/>
    <w:rsid w:val="00BA2940"/>
    <w:rsid w:val="00BB35D8"/>
    <w:rsid w:val="00BB3BD7"/>
    <w:rsid w:val="00BB3D0A"/>
    <w:rsid w:val="00BB4028"/>
    <w:rsid w:val="00BC1CF7"/>
    <w:rsid w:val="00BD2FB5"/>
    <w:rsid w:val="00BE2DC7"/>
    <w:rsid w:val="00C03671"/>
    <w:rsid w:val="00C04055"/>
    <w:rsid w:val="00C22775"/>
    <w:rsid w:val="00C32A29"/>
    <w:rsid w:val="00C406CA"/>
    <w:rsid w:val="00C46E19"/>
    <w:rsid w:val="00C53F26"/>
    <w:rsid w:val="00C76B41"/>
    <w:rsid w:val="00C81614"/>
    <w:rsid w:val="00CA2B61"/>
    <w:rsid w:val="00CB1054"/>
    <w:rsid w:val="00CB19F8"/>
    <w:rsid w:val="00CB37F9"/>
    <w:rsid w:val="00CB3FD9"/>
    <w:rsid w:val="00CC3D18"/>
    <w:rsid w:val="00CC4A53"/>
    <w:rsid w:val="00CD15F6"/>
    <w:rsid w:val="00D0088A"/>
    <w:rsid w:val="00D14E3F"/>
    <w:rsid w:val="00D16F15"/>
    <w:rsid w:val="00D31A48"/>
    <w:rsid w:val="00D32ABB"/>
    <w:rsid w:val="00D359B8"/>
    <w:rsid w:val="00D41EFF"/>
    <w:rsid w:val="00D43A72"/>
    <w:rsid w:val="00D4466B"/>
    <w:rsid w:val="00D639C1"/>
    <w:rsid w:val="00D77A05"/>
    <w:rsid w:val="00D92496"/>
    <w:rsid w:val="00DA32C2"/>
    <w:rsid w:val="00DB57FF"/>
    <w:rsid w:val="00DD13B8"/>
    <w:rsid w:val="00DD3A8D"/>
    <w:rsid w:val="00DD5AAF"/>
    <w:rsid w:val="00DE2A95"/>
    <w:rsid w:val="00DE4936"/>
    <w:rsid w:val="00DF258C"/>
    <w:rsid w:val="00E119FA"/>
    <w:rsid w:val="00E4121A"/>
    <w:rsid w:val="00E41E5C"/>
    <w:rsid w:val="00E437E3"/>
    <w:rsid w:val="00E60AB5"/>
    <w:rsid w:val="00E718BE"/>
    <w:rsid w:val="00E7694B"/>
    <w:rsid w:val="00E777EF"/>
    <w:rsid w:val="00E8309B"/>
    <w:rsid w:val="00E8592D"/>
    <w:rsid w:val="00E950D7"/>
    <w:rsid w:val="00E978E4"/>
    <w:rsid w:val="00EA42FF"/>
    <w:rsid w:val="00EB007F"/>
    <w:rsid w:val="00EB4B7B"/>
    <w:rsid w:val="00EC070B"/>
    <w:rsid w:val="00EC1441"/>
    <w:rsid w:val="00EC3253"/>
    <w:rsid w:val="00EC3E47"/>
    <w:rsid w:val="00EC78B5"/>
    <w:rsid w:val="00ED759E"/>
    <w:rsid w:val="00ED7690"/>
    <w:rsid w:val="00EE44AA"/>
    <w:rsid w:val="00EF424F"/>
    <w:rsid w:val="00EF5121"/>
    <w:rsid w:val="00F05884"/>
    <w:rsid w:val="00F12932"/>
    <w:rsid w:val="00F17B33"/>
    <w:rsid w:val="00F300B2"/>
    <w:rsid w:val="00F60425"/>
    <w:rsid w:val="00F84DCC"/>
    <w:rsid w:val="00F85DAA"/>
    <w:rsid w:val="00F90736"/>
    <w:rsid w:val="00F96B4E"/>
    <w:rsid w:val="00FB0C4B"/>
    <w:rsid w:val="00FB0E43"/>
    <w:rsid w:val="00FC646B"/>
    <w:rsid w:val="00FE5AED"/>
    <w:rsid w:val="00FE71FE"/>
    <w:rsid w:val="00FF1B9A"/>
    <w:rsid w:val="01381AF4"/>
    <w:rsid w:val="01AC75F0"/>
    <w:rsid w:val="01C51FE4"/>
    <w:rsid w:val="0216396E"/>
    <w:rsid w:val="024477C9"/>
    <w:rsid w:val="02722BA5"/>
    <w:rsid w:val="03F90D32"/>
    <w:rsid w:val="042C2C6A"/>
    <w:rsid w:val="05171DF8"/>
    <w:rsid w:val="0595624C"/>
    <w:rsid w:val="059D393C"/>
    <w:rsid w:val="06030EE3"/>
    <w:rsid w:val="062C7C3F"/>
    <w:rsid w:val="06625182"/>
    <w:rsid w:val="06E07B38"/>
    <w:rsid w:val="0780241B"/>
    <w:rsid w:val="078715FD"/>
    <w:rsid w:val="07B17773"/>
    <w:rsid w:val="07F9DE92"/>
    <w:rsid w:val="08D87413"/>
    <w:rsid w:val="092A1DB3"/>
    <w:rsid w:val="092B3FBF"/>
    <w:rsid w:val="0A451F66"/>
    <w:rsid w:val="0AB77E64"/>
    <w:rsid w:val="0B0125C1"/>
    <w:rsid w:val="0D4903E8"/>
    <w:rsid w:val="0DEC6932"/>
    <w:rsid w:val="0DF93BBD"/>
    <w:rsid w:val="0E511A32"/>
    <w:rsid w:val="0E53691E"/>
    <w:rsid w:val="0E680D42"/>
    <w:rsid w:val="0E86797B"/>
    <w:rsid w:val="0EF77A26"/>
    <w:rsid w:val="10035B71"/>
    <w:rsid w:val="10F5707C"/>
    <w:rsid w:val="11F538B9"/>
    <w:rsid w:val="13D54396"/>
    <w:rsid w:val="13F11AED"/>
    <w:rsid w:val="14466190"/>
    <w:rsid w:val="149C76FC"/>
    <w:rsid w:val="15AE11BA"/>
    <w:rsid w:val="15F823CB"/>
    <w:rsid w:val="163A3C56"/>
    <w:rsid w:val="166626C1"/>
    <w:rsid w:val="16FE34CD"/>
    <w:rsid w:val="171D097B"/>
    <w:rsid w:val="17D0261A"/>
    <w:rsid w:val="184B12A9"/>
    <w:rsid w:val="18B84674"/>
    <w:rsid w:val="19502AFF"/>
    <w:rsid w:val="198E4775"/>
    <w:rsid w:val="1A0A7050"/>
    <w:rsid w:val="1AAB7A25"/>
    <w:rsid w:val="1BA57D76"/>
    <w:rsid w:val="1BB61672"/>
    <w:rsid w:val="1BDE1FAA"/>
    <w:rsid w:val="1DDE67C1"/>
    <w:rsid w:val="1EAB23C4"/>
    <w:rsid w:val="1EE63BA8"/>
    <w:rsid w:val="1FA8029B"/>
    <w:rsid w:val="20267218"/>
    <w:rsid w:val="202E63DC"/>
    <w:rsid w:val="209A6308"/>
    <w:rsid w:val="21674761"/>
    <w:rsid w:val="216F482F"/>
    <w:rsid w:val="21A17D67"/>
    <w:rsid w:val="21FB3F4F"/>
    <w:rsid w:val="22AD24F0"/>
    <w:rsid w:val="22B8599C"/>
    <w:rsid w:val="22D74012"/>
    <w:rsid w:val="234D00FD"/>
    <w:rsid w:val="23E55FD0"/>
    <w:rsid w:val="2416004C"/>
    <w:rsid w:val="24BD43CA"/>
    <w:rsid w:val="24F95938"/>
    <w:rsid w:val="25E74A15"/>
    <w:rsid w:val="26A14847"/>
    <w:rsid w:val="2803466B"/>
    <w:rsid w:val="286A7D00"/>
    <w:rsid w:val="28C34829"/>
    <w:rsid w:val="2A043BF1"/>
    <w:rsid w:val="2A226172"/>
    <w:rsid w:val="2A5D507B"/>
    <w:rsid w:val="2ADC4A9D"/>
    <w:rsid w:val="2AF4778E"/>
    <w:rsid w:val="2B7845AF"/>
    <w:rsid w:val="2B8829FC"/>
    <w:rsid w:val="2D10685B"/>
    <w:rsid w:val="2DE55F39"/>
    <w:rsid w:val="2E942D20"/>
    <w:rsid w:val="2F454C77"/>
    <w:rsid w:val="2F521082"/>
    <w:rsid w:val="30E82645"/>
    <w:rsid w:val="31586D50"/>
    <w:rsid w:val="31D21266"/>
    <w:rsid w:val="32995CF1"/>
    <w:rsid w:val="32FC18D5"/>
    <w:rsid w:val="336278A3"/>
    <w:rsid w:val="33874B29"/>
    <w:rsid w:val="34056DE9"/>
    <w:rsid w:val="34DB70CF"/>
    <w:rsid w:val="3552387E"/>
    <w:rsid w:val="358024D4"/>
    <w:rsid w:val="368A2987"/>
    <w:rsid w:val="36B25A48"/>
    <w:rsid w:val="36B545EF"/>
    <w:rsid w:val="3751174E"/>
    <w:rsid w:val="37572EC0"/>
    <w:rsid w:val="392C148C"/>
    <w:rsid w:val="39875C71"/>
    <w:rsid w:val="39B65B77"/>
    <w:rsid w:val="39DF4F22"/>
    <w:rsid w:val="3A5C0EAC"/>
    <w:rsid w:val="3A6E739F"/>
    <w:rsid w:val="3A8C5F9B"/>
    <w:rsid w:val="3B6405FB"/>
    <w:rsid w:val="3BBCE95E"/>
    <w:rsid w:val="3BF13876"/>
    <w:rsid w:val="3BFDC299"/>
    <w:rsid w:val="3C0A0ADE"/>
    <w:rsid w:val="3C560D5B"/>
    <w:rsid w:val="3CA71187"/>
    <w:rsid w:val="3DAA3C2F"/>
    <w:rsid w:val="3EA373E6"/>
    <w:rsid w:val="3F2150E3"/>
    <w:rsid w:val="3F446ADE"/>
    <w:rsid w:val="3F87214D"/>
    <w:rsid w:val="40980F08"/>
    <w:rsid w:val="40E77100"/>
    <w:rsid w:val="420E5EC6"/>
    <w:rsid w:val="421538F8"/>
    <w:rsid w:val="42E06616"/>
    <w:rsid w:val="43104E14"/>
    <w:rsid w:val="438356FB"/>
    <w:rsid w:val="442E40F1"/>
    <w:rsid w:val="445B7C2F"/>
    <w:rsid w:val="452523E2"/>
    <w:rsid w:val="46231CDF"/>
    <w:rsid w:val="46CD6E04"/>
    <w:rsid w:val="47E01BBD"/>
    <w:rsid w:val="47E5312D"/>
    <w:rsid w:val="48E4232F"/>
    <w:rsid w:val="49A4641B"/>
    <w:rsid w:val="4A0823C8"/>
    <w:rsid w:val="4A0904DA"/>
    <w:rsid w:val="4B09617F"/>
    <w:rsid w:val="4B991FDC"/>
    <w:rsid w:val="4BB90A69"/>
    <w:rsid w:val="4C71202C"/>
    <w:rsid w:val="4C7810EA"/>
    <w:rsid w:val="4C9D15DC"/>
    <w:rsid w:val="4CD53574"/>
    <w:rsid w:val="4D4B5DF8"/>
    <w:rsid w:val="4D8F3F46"/>
    <w:rsid w:val="4D96662F"/>
    <w:rsid w:val="4DA13154"/>
    <w:rsid w:val="4E23640C"/>
    <w:rsid w:val="4F156F60"/>
    <w:rsid w:val="51114C78"/>
    <w:rsid w:val="5154612C"/>
    <w:rsid w:val="51A327B7"/>
    <w:rsid w:val="51C71C1F"/>
    <w:rsid w:val="528B6364"/>
    <w:rsid w:val="52E639D0"/>
    <w:rsid w:val="53043434"/>
    <w:rsid w:val="53CD61A4"/>
    <w:rsid w:val="53D077B3"/>
    <w:rsid w:val="54AC3E6C"/>
    <w:rsid w:val="5588FF42"/>
    <w:rsid w:val="559801FC"/>
    <w:rsid w:val="55BF3A75"/>
    <w:rsid w:val="56000EAC"/>
    <w:rsid w:val="563A7E9B"/>
    <w:rsid w:val="566763F0"/>
    <w:rsid w:val="569C475F"/>
    <w:rsid w:val="585D52FB"/>
    <w:rsid w:val="590A0A95"/>
    <w:rsid w:val="5A3B0686"/>
    <w:rsid w:val="5A82520F"/>
    <w:rsid w:val="5AE10BEE"/>
    <w:rsid w:val="5B6D0E1C"/>
    <w:rsid w:val="5BCC4E29"/>
    <w:rsid w:val="5C131DA6"/>
    <w:rsid w:val="5C804880"/>
    <w:rsid w:val="5CCF2407"/>
    <w:rsid w:val="5D232127"/>
    <w:rsid w:val="5D5A0EDC"/>
    <w:rsid w:val="5DF241B7"/>
    <w:rsid w:val="5E997D8F"/>
    <w:rsid w:val="5F7FC1DA"/>
    <w:rsid w:val="5FC57711"/>
    <w:rsid w:val="5FEE2F64"/>
    <w:rsid w:val="600D2A18"/>
    <w:rsid w:val="60234DCB"/>
    <w:rsid w:val="603A28C2"/>
    <w:rsid w:val="611815D3"/>
    <w:rsid w:val="61B54095"/>
    <w:rsid w:val="63BBCDF4"/>
    <w:rsid w:val="65774F5E"/>
    <w:rsid w:val="65E35D20"/>
    <w:rsid w:val="66122CA8"/>
    <w:rsid w:val="6B115C53"/>
    <w:rsid w:val="6BE903A5"/>
    <w:rsid w:val="6BF905B2"/>
    <w:rsid w:val="6C112FF2"/>
    <w:rsid w:val="6C470642"/>
    <w:rsid w:val="6CD92309"/>
    <w:rsid w:val="6CEC9C98"/>
    <w:rsid w:val="6D0C5126"/>
    <w:rsid w:val="6D2154B9"/>
    <w:rsid w:val="6DFF00E0"/>
    <w:rsid w:val="6E453429"/>
    <w:rsid w:val="6EDF3A2D"/>
    <w:rsid w:val="6F8A4A0A"/>
    <w:rsid w:val="70835C9D"/>
    <w:rsid w:val="70FACD5E"/>
    <w:rsid w:val="713759CB"/>
    <w:rsid w:val="716F2C97"/>
    <w:rsid w:val="71AE551B"/>
    <w:rsid w:val="72C50203"/>
    <w:rsid w:val="73A34E7A"/>
    <w:rsid w:val="73BC5F41"/>
    <w:rsid w:val="73BFBB51"/>
    <w:rsid w:val="74321C82"/>
    <w:rsid w:val="74447BCC"/>
    <w:rsid w:val="747674B0"/>
    <w:rsid w:val="749F56E5"/>
    <w:rsid w:val="75493F86"/>
    <w:rsid w:val="766F51E4"/>
    <w:rsid w:val="76DE441B"/>
    <w:rsid w:val="79076B6A"/>
    <w:rsid w:val="79E90175"/>
    <w:rsid w:val="7A106F97"/>
    <w:rsid w:val="7A7AC701"/>
    <w:rsid w:val="7A7E219D"/>
    <w:rsid w:val="7B6F2B92"/>
    <w:rsid w:val="7BBE195E"/>
    <w:rsid w:val="7C9712F4"/>
    <w:rsid w:val="7CC40D37"/>
    <w:rsid w:val="7DF73D01"/>
    <w:rsid w:val="7E77326E"/>
    <w:rsid w:val="7EA321D2"/>
    <w:rsid w:val="7F5F28FF"/>
    <w:rsid w:val="7FBB5533"/>
    <w:rsid w:val="7FBBCF13"/>
    <w:rsid w:val="7FBFF13D"/>
    <w:rsid w:val="87FF01FE"/>
    <w:rsid w:val="A41EF6BC"/>
    <w:rsid w:val="BFF39FC9"/>
    <w:rsid w:val="DF7EDB58"/>
    <w:rsid w:val="DFBA660D"/>
    <w:rsid w:val="DFC7AB85"/>
    <w:rsid w:val="DFFFDC86"/>
    <w:rsid w:val="E26F39BB"/>
    <w:rsid w:val="EBFD8B77"/>
    <w:rsid w:val="EFF6A605"/>
    <w:rsid w:val="F790B3E1"/>
    <w:rsid w:val="F7CB5636"/>
    <w:rsid w:val="FA7374F8"/>
    <w:rsid w:val="FC75CBEC"/>
    <w:rsid w:val="FDCB50B2"/>
    <w:rsid w:val="FEDFC0AE"/>
    <w:rsid w:val="FEFD0DEB"/>
    <w:rsid w:val="FF3A69EC"/>
    <w:rsid w:val="FF7F8086"/>
    <w:rsid w:val="FFC85927"/>
    <w:rsid w:val="FFFED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21">
    <w:name w:val="Default Paragraph Font"/>
    <w:link w:val="22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spacing w:line="520" w:lineRule="exact"/>
    </w:pPr>
    <w:rPr>
      <w:rFonts w:ascii="仿宋_GB2312" w:eastAsia="仿宋_GB2312"/>
      <w:b/>
      <w:sz w:val="32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  <w:szCs w:val="21"/>
    </w:rPr>
  </w:style>
  <w:style w:type="paragraph" w:styleId="9">
    <w:name w:val="Body Text Indent 2"/>
    <w:basedOn w:val="1"/>
    <w:autoRedefine/>
    <w:qFormat/>
    <w:uiPriority w:val="0"/>
    <w:pPr>
      <w:spacing w:line="560" w:lineRule="exact"/>
      <w:ind w:firstLine="643" w:firstLineChars="200"/>
    </w:pPr>
    <w:rPr>
      <w:rFonts w:eastAsia="仿宋_GB2312"/>
      <w:b/>
      <w:bCs/>
      <w:sz w:val="32"/>
    </w:r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index heading"/>
    <w:basedOn w:val="1"/>
    <w:next w:val="14"/>
    <w:autoRedefine/>
    <w:unhideWhenUsed/>
    <w:qFormat/>
    <w:uiPriority w:val="0"/>
    <w:rPr>
      <w:rFonts w:ascii="等线 Light" w:hAnsi="等线 Light" w:eastAsia="等线 Light" w:cs="Times New Roman"/>
      <w:b/>
      <w:bCs/>
    </w:rPr>
  </w:style>
  <w:style w:type="paragraph" w:styleId="14">
    <w:name w:val="index 1"/>
    <w:basedOn w:val="1"/>
    <w:next w:val="1"/>
    <w:autoRedefine/>
    <w:unhideWhenUsed/>
    <w:qFormat/>
    <w:uiPriority w:val="0"/>
  </w:style>
  <w:style w:type="paragraph" w:styleId="15">
    <w:name w:val="Body Text Indent 3"/>
    <w:basedOn w:val="1"/>
    <w:autoRedefine/>
    <w:qFormat/>
    <w:uiPriority w:val="0"/>
    <w:pPr>
      <w:ind w:left="645"/>
    </w:pPr>
    <w:rPr>
      <w:rFonts w:ascii="仿宋_GB2312" w:eastAsia="仿宋_GB2312"/>
      <w:sz w:val="32"/>
    </w:rPr>
  </w:style>
  <w:style w:type="paragraph" w:styleId="1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 Char Char11 Char Char"/>
    <w:basedOn w:val="1"/>
    <w:link w:val="21"/>
    <w:autoRedefine/>
    <w:qFormat/>
    <w:uiPriority w:val="0"/>
  </w:style>
  <w:style w:type="character" w:styleId="23">
    <w:name w:val="Strong"/>
    <w:basedOn w:val="21"/>
    <w:autoRedefine/>
    <w:qFormat/>
    <w:uiPriority w:val="0"/>
    <w:rPr>
      <w:b/>
      <w:bCs/>
    </w:rPr>
  </w:style>
  <w:style w:type="character" w:styleId="24">
    <w:name w:val="page number"/>
    <w:basedOn w:val="21"/>
    <w:autoRedefine/>
    <w:qFormat/>
    <w:uiPriority w:val="0"/>
  </w:style>
  <w:style w:type="character" w:styleId="25">
    <w:name w:val="FollowedHyperlink"/>
    <w:basedOn w:val="21"/>
    <w:autoRedefine/>
    <w:qFormat/>
    <w:uiPriority w:val="0"/>
    <w:rPr>
      <w:color w:val="333333"/>
      <w:u w:val="none"/>
    </w:rPr>
  </w:style>
  <w:style w:type="character" w:styleId="26">
    <w:name w:val="Emphasis"/>
    <w:basedOn w:val="21"/>
    <w:autoRedefine/>
    <w:qFormat/>
    <w:uiPriority w:val="0"/>
  </w:style>
  <w:style w:type="character" w:styleId="27">
    <w:name w:val="Hyperlink"/>
    <w:basedOn w:val="21"/>
    <w:autoRedefine/>
    <w:qFormat/>
    <w:uiPriority w:val="0"/>
    <w:rPr>
      <w:color w:val="333333"/>
      <w:u w:val="none"/>
    </w:rPr>
  </w:style>
  <w:style w:type="character" w:styleId="28">
    <w:name w:val="HTML Code"/>
    <w:basedOn w:val="21"/>
    <w:autoRedefine/>
    <w:qFormat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color="auto" w:fill="F7F7F9"/>
    </w:rPr>
  </w:style>
  <w:style w:type="character" w:styleId="29">
    <w:name w:val="HTML Cite"/>
    <w:basedOn w:val="21"/>
    <w:autoRedefine/>
    <w:qFormat/>
    <w:uiPriority w:val="0"/>
  </w:style>
  <w:style w:type="character" w:customStyle="1" w:styleId="30">
    <w:name w:val="jiuc"/>
    <w:basedOn w:val="21"/>
    <w:autoRedefine/>
    <w:qFormat/>
    <w:uiPriority w:val="0"/>
  </w:style>
  <w:style w:type="paragraph" w:customStyle="1" w:styleId="31">
    <w:name w:val=" 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 Char"/>
    <w:basedOn w:val="1"/>
    <w:autoRedefine/>
    <w:qFormat/>
    <w:uiPriority w:val="0"/>
    <w:rPr>
      <w:szCs w:val="20"/>
    </w:rPr>
  </w:style>
  <w:style w:type="paragraph" w:customStyle="1" w:styleId="33">
    <w:name w:val="列出段落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35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asd.ltd.co</Company>
  <Pages>10</Pages>
  <Words>4611</Words>
  <Characters>4633</Characters>
  <Lines>1</Lines>
  <Paragraphs>1</Paragraphs>
  <TotalTime>3</TotalTime>
  <ScaleCrop>false</ScaleCrop>
  <LinksUpToDate>false</LinksUpToDate>
  <CharactersWithSpaces>4695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2005-04-20T09:40:00Z</dcterms:created>
  <dc:creator>tzz</dc:creator>
  <cp:lastModifiedBy>YEE</cp:lastModifiedBy>
  <cp:lastPrinted>2024-01-18T02:57:17Z</cp:lastPrinted>
  <dcterms:modified xsi:type="dcterms:W3CDTF">2024-01-18T02:58:19Z</dcterms:modified>
  <dc:title>关于认真做好当前经济工作的通知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0708149812A241AF87DAF074A146AD1C_13</vt:lpwstr>
  </property>
</Properties>
</file>