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ind w:firstLine="0" w:firstLineChars="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lang w:eastAsia="zh-CN"/>
        </w:rPr>
      </w:pP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金融机构申报“投贷奖”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支持</w:t>
      </w: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条件</w:t>
      </w:r>
    </w:p>
    <w:p>
      <w:pPr>
        <w:ind w:firstLine="440"/>
        <w:rPr>
          <w:lang w:eastAsia="zh-CN"/>
        </w:rPr>
      </w:pPr>
    </w:p>
    <w:tbl>
      <w:tblPr>
        <w:tblStyle w:val="8"/>
        <w:tblW w:w="13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7"/>
        <w:gridCol w:w="3990"/>
        <w:gridCol w:w="7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事项</w:t>
            </w:r>
          </w:p>
        </w:tc>
        <w:tc>
          <w:tcPr>
            <w:tcW w:w="74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全部申报金融机构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both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已成功为文化企业提供投融资服务</w:t>
            </w:r>
          </w:p>
        </w:tc>
        <w:tc>
          <w:tcPr>
            <w:tcW w:w="7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both"/>
              <w:textAlignment w:val="auto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为文化企业提供贷款、融资租赁、融资担保、股权投资等服务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诚信情况</w:t>
            </w:r>
          </w:p>
        </w:tc>
        <w:tc>
          <w:tcPr>
            <w:tcW w:w="7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1.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eastAsia="zh-CN"/>
              </w:rPr>
              <w:t>支持期间不存在严重违法违规行为、失信行为，实际控制人及主要股东、高管不存在不良信用记录；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eastAsia="zh-CN"/>
              </w:rPr>
              <w:t>2.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>支持期间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eastAsia="zh-CN"/>
              </w:rPr>
              <w:t>内，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>未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eastAsia="zh-CN"/>
              </w:rPr>
              <w:t>受到“没收违法所得、没收非法财物；责令停产停业；暂扣或者吊销许可证、暂扣或者吊销执照；行政拘留；法律、行政法规规定的其他行政处罚”</w:t>
            </w:r>
            <w:bookmarkStart w:id="0" w:name="_GoBack"/>
            <w:bookmarkEnd w:id="0"/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eastAsia="zh-CN"/>
              </w:rPr>
              <w:t>等五类行政处罚之一；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eastAsia="zh-CN"/>
              </w:rPr>
              <w:t>3.申报单位未被纳入市文资中心企业及法人黑名单管理。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银行奖励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7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需与营业执照一致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银行地点</w:t>
            </w:r>
          </w:p>
        </w:tc>
        <w:tc>
          <w:tcPr>
            <w:tcW w:w="7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服务企业</w:t>
            </w:r>
          </w:p>
        </w:tc>
        <w:tc>
          <w:tcPr>
            <w:tcW w:w="7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北京市主营业务收入1亿元及以下的文化企业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贷款合同签订时间</w:t>
            </w:r>
          </w:p>
        </w:tc>
        <w:tc>
          <w:tcPr>
            <w:tcW w:w="7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本次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投贷奖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”支持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期间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纳入银行融资统计企业的贷款额度</w:t>
            </w:r>
          </w:p>
        </w:tc>
        <w:tc>
          <w:tcPr>
            <w:tcW w:w="7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单家不超过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3000万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元，超过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3000万元按照3000万元计算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支持标准</w:t>
            </w:r>
          </w:p>
        </w:tc>
        <w:tc>
          <w:tcPr>
            <w:tcW w:w="7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按当期为文化企业提供的首次贷款和两年期以上续贷部分的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0.5%给予资金奖励，其中，信用贷、无形资产抵押贷部分按照1%给予奖励，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单家银行年度奖励金额不超过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融资租赁机构奖励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名称</w:t>
            </w:r>
          </w:p>
        </w:tc>
        <w:tc>
          <w:tcPr>
            <w:tcW w:w="7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需与营业执照一致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企业类型</w:t>
            </w:r>
          </w:p>
        </w:tc>
        <w:tc>
          <w:tcPr>
            <w:tcW w:w="7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需与营业执照一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highlight w:val="none"/>
                <w:lang w:eastAsia="zh-CN"/>
              </w:rPr>
              <w:t>致，不含金融租赁机构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融资租赁机构（含分支机构）注册地</w:t>
            </w:r>
          </w:p>
        </w:tc>
        <w:tc>
          <w:tcPr>
            <w:tcW w:w="7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法人资格</w:t>
            </w:r>
          </w:p>
        </w:tc>
        <w:tc>
          <w:tcPr>
            <w:tcW w:w="7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独立法人资格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/>
              <w:jc w:val="center"/>
              <w:textAlignment w:val="auto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服务企业</w:t>
            </w:r>
          </w:p>
        </w:tc>
        <w:tc>
          <w:tcPr>
            <w:tcW w:w="7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北京市主营业务收入1亿元及以下的文化企业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/>
              <w:jc w:val="center"/>
              <w:textAlignment w:val="auto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融资租赁机构（含分支机构）性质</w:t>
            </w:r>
          </w:p>
        </w:tc>
        <w:tc>
          <w:tcPr>
            <w:tcW w:w="7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融资租赁公司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hAnsi="仿宋" w:eastAsia="仿宋_GB2312"/>
                <w:sz w:val="24"/>
                <w:szCs w:val="24"/>
                <w:lang w:eastAsia="zh-CN"/>
              </w:rPr>
              <w:t>纳入融资租赁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统计企业的融资租赁放款额度</w:t>
            </w:r>
          </w:p>
        </w:tc>
        <w:tc>
          <w:tcPr>
            <w:tcW w:w="7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单家不超过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3000万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元，超过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3000万元按照3000万元计算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/>
              <w:jc w:val="center"/>
              <w:textAlignment w:val="auto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租赁合同签订时间</w:t>
            </w:r>
          </w:p>
        </w:tc>
        <w:tc>
          <w:tcPr>
            <w:tcW w:w="7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本次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投贷奖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支持期间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/>
              <w:jc w:val="center"/>
              <w:textAlignment w:val="auto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支持标准</w:t>
            </w:r>
          </w:p>
        </w:tc>
        <w:tc>
          <w:tcPr>
            <w:tcW w:w="7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按照新发生融资租赁业务规模的1%奖励，单家融资租赁机构年度奖励金额不超过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br w:type="page"/>
            </w:r>
            <w:r>
              <w:rPr>
                <w:rFonts w:hint="eastAsia" w:ascii="仿宋_GB2312" w:eastAsia="仿宋_GB2312"/>
                <w:sz w:val="24"/>
                <w:szCs w:val="24"/>
              </w:rPr>
              <w:t>融资担保机构奖励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名称</w:t>
            </w:r>
          </w:p>
        </w:tc>
        <w:tc>
          <w:tcPr>
            <w:tcW w:w="7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需与营业执照一致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法人资格</w:t>
            </w:r>
          </w:p>
        </w:tc>
        <w:tc>
          <w:tcPr>
            <w:tcW w:w="7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独立法人资格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融资担保机构（含分支机构）注册地</w:t>
            </w:r>
          </w:p>
        </w:tc>
        <w:tc>
          <w:tcPr>
            <w:tcW w:w="7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/>
              <w:jc w:val="center"/>
              <w:textAlignment w:val="auto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服务企业</w:t>
            </w:r>
          </w:p>
        </w:tc>
        <w:tc>
          <w:tcPr>
            <w:tcW w:w="7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北京市主营业务收入1亿元及以下的文化企业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hAnsi="仿宋" w:eastAsia="仿宋_GB2312"/>
                <w:sz w:val="24"/>
                <w:szCs w:val="24"/>
                <w:lang w:eastAsia="zh-CN"/>
              </w:rPr>
              <w:t>纳入融资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担保统计企业的融资担保额度</w:t>
            </w:r>
          </w:p>
        </w:tc>
        <w:tc>
          <w:tcPr>
            <w:tcW w:w="7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单家不超过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3000万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元，超过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3000万元按照3000万元计算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/>
              <w:jc w:val="center"/>
              <w:textAlignment w:val="auto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支持标准</w:t>
            </w:r>
          </w:p>
        </w:tc>
        <w:tc>
          <w:tcPr>
            <w:tcW w:w="7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textAlignment w:val="auto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按照新发生担保业务规模的1%奖励，单家担保机构年度奖励金额不超过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/>
              <w:jc w:val="center"/>
              <w:textAlignment w:val="auto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担保合同签订时间</w:t>
            </w:r>
          </w:p>
        </w:tc>
        <w:tc>
          <w:tcPr>
            <w:tcW w:w="7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本次“投贷奖”支持期间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0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再担保公司</w:t>
            </w:r>
          </w:p>
        </w:tc>
        <w:tc>
          <w:tcPr>
            <w:tcW w:w="7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再担保公司开展直保业务，支持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股权投资机构奖励</w:t>
            </w: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股权投资机构（或总部）注册地</w:t>
            </w:r>
          </w:p>
        </w:tc>
        <w:tc>
          <w:tcPr>
            <w:tcW w:w="7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名称</w:t>
            </w:r>
          </w:p>
        </w:tc>
        <w:tc>
          <w:tcPr>
            <w:tcW w:w="7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需与营业执照一致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法人资格</w:t>
            </w:r>
          </w:p>
        </w:tc>
        <w:tc>
          <w:tcPr>
            <w:tcW w:w="7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独立法人资格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64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机构要求</w:t>
            </w:r>
          </w:p>
        </w:tc>
        <w:tc>
          <w:tcPr>
            <w:tcW w:w="7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投资管理机构及其管理基金已在中国证券投资基金业协会备案登记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640"/>
              <w:jc w:val="center"/>
              <w:textAlignment w:val="auto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服务企业</w:t>
            </w:r>
          </w:p>
        </w:tc>
        <w:tc>
          <w:tcPr>
            <w:tcW w:w="7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北京市主营业务收入1亿元及以下的文化企业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640"/>
              <w:jc w:val="center"/>
              <w:textAlignment w:val="auto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股权比例</w:t>
            </w:r>
          </w:p>
        </w:tc>
        <w:tc>
          <w:tcPr>
            <w:tcW w:w="7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投资机构不得为被投资企业的创始股东；投资机构对企业进行本轮投资后，投资机构所占股权比例不超过50%，且不为第一大股东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22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640"/>
              <w:jc w:val="center"/>
              <w:textAlignment w:val="auto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支持标准</w:t>
            </w:r>
          </w:p>
        </w:tc>
        <w:tc>
          <w:tcPr>
            <w:tcW w:w="7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按实际投资额的10%给予奖励，单笔奖励最高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不超过100万元，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单家股权投资机构当期奖励金额不超过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2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640"/>
              <w:jc w:val="center"/>
              <w:textAlignment w:val="auto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受让现有股东</w:t>
            </w:r>
          </w:p>
        </w:tc>
        <w:tc>
          <w:tcPr>
            <w:tcW w:w="7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因获益方为现有股东，并非标的企业，不支持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640"/>
              <w:jc w:val="center"/>
              <w:textAlignment w:val="auto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一年多轮投资</w:t>
            </w:r>
          </w:p>
        </w:tc>
        <w:tc>
          <w:tcPr>
            <w:tcW w:w="7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仅支持一轮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22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64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多家机构共同投资一家企业</w:t>
            </w:r>
          </w:p>
        </w:tc>
        <w:tc>
          <w:tcPr>
            <w:tcW w:w="74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对多家机构共同投资一家文化企业的情况，符合条件的投资机构均予以支持，并依照认定的投资额度分配支持资金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640"/>
              <w:jc w:val="center"/>
              <w:textAlignment w:val="auto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投资款情况</w:t>
            </w:r>
          </w:p>
        </w:tc>
        <w:tc>
          <w:tcPr>
            <w:tcW w:w="7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投资款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于本次“投贷奖”支持期间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应实际到账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640"/>
              <w:jc w:val="center"/>
              <w:textAlignment w:val="auto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工商变更情况</w:t>
            </w:r>
          </w:p>
        </w:tc>
        <w:tc>
          <w:tcPr>
            <w:tcW w:w="7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所投资企业完成工商变更后递交申请，所投资企业完成工商变更的时间应在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本次“投贷奖”支持期间</w:t>
            </w:r>
          </w:p>
        </w:tc>
      </w:tr>
    </w:tbl>
    <w:p>
      <w:pPr>
        <w:ind w:firstLine="440"/>
        <w:rPr>
          <w:lang w:eastAsia="zh-CN"/>
        </w:rPr>
      </w:pPr>
    </w:p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40"/>
      </w:pPr>
      <w:r>
        <w:separator/>
      </w:r>
    </w:p>
  </w:endnote>
  <w:endnote w:type="continuationSeparator" w:id="1">
    <w:p>
      <w:pPr>
        <w:spacing w:line="240" w:lineRule="auto"/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40"/>
      </w:pPr>
      <w:r>
        <w:separator/>
      </w:r>
    </w:p>
  </w:footnote>
  <w:footnote w:type="continuationSeparator" w:id="1">
    <w:p>
      <w:pPr>
        <w:spacing w:line="240" w:lineRule="auto"/>
        <w:ind w:firstLine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CF"/>
    <w:rsid w:val="00414FCF"/>
    <w:rsid w:val="0072051C"/>
    <w:rsid w:val="007757C2"/>
    <w:rsid w:val="00855129"/>
    <w:rsid w:val="00912B24"/>
    <w:rsid w:val="00AE1B2F"/>
    <w:rsid w:val="00C26197"/>
    <w:rsid w:val="00C94E48"/>
    <w:rsid w:val="00CB6876"/>
    <w:rsid w:val="02027CEB"/>
    <w:rsid w:val="06D7035B"/>
    <w:rsid w:val="074E2D03"/>
    <w:rsid w:val="0ADB3AAC"/>
    <w:rsid w:val="0B80440F"/>
    <w:rsid w:val="0F0E64CE"/>
    <w:rsid w:val="104F6249"/>
    <w:rsid w:val="1105404D"/>
    <w:rsid w:val="11D81CAE"/>
    <w:rsid w:val="179164EA"/>
    <w:rsid w:val="18136008"/>
    <w:rsid w:val="19765B46"/>
    <w:rsid w:val="1A4A62DB"/>
    <w:rsid w:val="1AA82D7C"/>
    <w:rsid w:val="1EBC2E23"/>
    <w:rsid w:val="20C72AC2"/>
    <w:rsid w:val="23A11218"/>
    <w:rsid w:val="25F767F9"/>
    <w:rsid w:val="263E4E55"/>
    <w:rsid w:val="28106BA0"/>
    <w:rsid w:val="288F33A7"/>
    <w:rsid w:val="2BEBEF14"/>
    <w:rsid w:val="30AE2E0C"/>
    <w:rsid w:val="31F79198"/>
    <w:rsid w:val="33922526"/>
    <w:rsid w:val="358D025B"/>
    <w:rsid w:val="3643549B"/>
    <w:rsid w:val="3B7772CD"/>
    <w:rsid w:val="3CEF2C22"/>
    <w:rsid w:val="3E176725"/>
    <w:rsid w:val="3FA81499"/>
    <w:rsid w:val="3FEBE3ED"/>
    <w:rsid w:val="413805E4"/>
    <w:rsid w:val="439A599B"/>
    <w:rsid w:val="46C77731"/>
    <w:rsid w:val="46F13E56"/>
    <w:rsid w:val="470B7031"/>
    <w:rsid w:val="47230323"/>
    <w:rsid w:val="49083C42"/>
    <w:rsid w:val="4A1917AD"/>
    <w:rsid w:val="4AE435EF"/>
    <w:rsid w:val="4B902325"/>
    <w:rsid w:val="4BC16579"/>
    <w:rsid w:val="4D1A188B"/>
    <w:rsid w:val="4DBD1F80"/>
    <w:rsid w:val="4EFF562C"/>
    <w:rsid w:val="50EBB5F7"/>
    <w:rsid w:val="513A7DA1"/>
    <w:rsid w:val="51F04557"/>
    <w:rsid w:val="522832E3"/>
    <w:rsid w:val="53E66CEE"/>
    <w:rsid w:val="540C5C69"/>
    <w:rsid w:val="55F91763"/>
    <w:rsid w:val="563C51D4"/>
    <w:rsid w:val="566236AF"/>
    <w:rsid w:val="5B51306B"/>
    <w:rsid w:val="5CCF7149"/>
    <w:rsid w:val="60FA5C8B"/>
    <w:rsid w:val="63CB70F6"/>
    <w:rsid w:val="654F4BDB"/>
    <w:rsid w:val="670E2744"/>
    <w:rsid w:val="685A7A58"/>
    <w:rsid w:val="6AE7711E"/>
    <w:rsid w:val="6C000E6E"/>
    <w:rsid w:val="6DDF6CEA"/>
    <w:rsid w:val="6E954912"/>
    <w:rsid w:val="6ECC2C7A"/>
    <w:rsid w:val="6F366C50"/>
    <w:rsid w:val="6F8926CF"/>
    <w:rsid w:val="6FF44CDB"/>
    <w:rsid w:val="72252549"/>
    <w:rsid w:val="72E157D8"/>
    <w:rsid w:val="747E59E1"/>
    <w:rsid w:val="74DD53D9"/>
    <w:rsid w:val="76FFE8B9"/>
    <w:rsid w:val="77D9F023"/>
    <w:rsid w:val="78D80E93"/>
    <w:rsid w:val="7B5B8C1A"/>
    <w:rsid w:val="7B840036"/>
    <w:rsid w:val="7C2D403D"/>
    <w:rsid w:val="7C8C220C"/>
    <w:rsid w:val="7CFD4EAB"/>
    <w:rsid w:val="7D37EC4B"/>
    <w:rsid w:val="7F2B4DD7"/>
    <w:rsid w:val="B7FB49FE"/>
    <w:rsid w:val="FD3D48E0"/>
    <w:rsid w:val="FD75F5F2"/>
    <w:rsid w:val="FF7F37DD"/>
    <w:rsid w:val="FFFFC2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40" w:lineRule="exact"/>
      <w:ind w:firstLine="200" w:firstLineChars="200"/>
      <w:jc w:val="both"/>
    </w:pPr>
    <w:rPr>
      <w:rFonts w:ascii="Cambria" w:hAnsi="Cambria" w:eastAsia="宋体" w:cs="Times New Roman"/>
      <w:sz w:val="22"/>
      <w:szCs w:val="22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unhideWhenUsed/>
    <w:qFormat/>
    <w:uiPriority w:val="0"/>
    <w:rPr>
      <w:sz w:val="21"/>
      <w:szCs w:val="21"/>
    </w:r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批注文字 Char"/>
    <w:basedOn w:val="9"/>
    <w:link w:val="2"/>
    <w:semiHidden/>
    <w:qFormat/>
    <w:uiPriority w:val="99"/>
    <w:rPr>
      <w:rFonts w:ascii="Cambria" w:hAnsi="Cambria"/>
      <w:sz w:val="22"/>
      <w:szCs w:val="22"/>
      <w:lang w:eastAsia="en-US" w:bidi="en-US"/>
    </w:rPr>
  </w:style>
  <w:style w:type="character" w:customStyle="1" w:styleId="14">
    <w:name w:val="批注主题 Char"/>
    <w:basedOn w:val="13"/>
    <w:link w:val="6"/>
    <w:semiHidden/>
    <w:qFormat/>
    <w:uiPriority w:val="99"/>
    <w:rPr>
      <w:b/>
      <w:bCs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="Cambria" w:hAnsi="Cambria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317</Words>
  <Characters>1813</Characters>
  <Lines>15</Lines>
  <Paragraphs>4</Paragraphs>
  <TotalTime>45</TotalTime>
  <ScaleCrop>false</ScaleCrop>
  <LinksUpToDate>false</LinksUpToDate>
  <CharactersWithSpaces>2126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2020-04-04T12:15:00Z</dcterms:created>
  <dc:creator>lenovo</dc:creator>
  <cp:lastModifiedBy>WZ</cp:lastModifiedBy>
  <cp:lastPrinted>2021-12-01T14:18:00Z</cp:lastPrinted>
  <dcterms:modified xsi:type="dcterms:W3CDTF">2023-07-31T17:03:46Z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