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136E" w14:textId="201465AA" w:rsidR="00860961" w:rsidRDefault="00F230FB" w:rsidP="00F230FB">
      <w:pPr>
        <w:pStyle w:val="3"/>
        <w:ind w:firstLineChars="0" w:firstLine="0"/>
        <w:jc w:val="center"/>
        <w:rPr>
          <w:rFonts w:ascii="方正小标宋简体" w:eastAsia="方正小标宋简体"/>
        </w:rPr>
      </w:pPr>
      <w:r w:rsidRPr="00F230FB">
        <w:rPr>
          <w:rFonts w:ascii="方正小标宋简体" w:eastAsia="方正小标宋简体" w:hint="eastAsia"/>
        </w:rPr>
        <w:t>《关于加强腾退空间和低效楼宇改造利用促进高精尖产业发展的工作方案（试行）》解读</w:t>
      </w:r>
    </w:p>
    <w:p w14:paraId="33EE3AA2" w14:textId="3EBC8148" w:rsidR="00F230FB" w:rsidRDefault="00F230FB" w:rsidP="00F230FB">
      <w:pPr>
        <w:ind w:firstLine="640"/>
      </w:pPr>
      <w:r>
        <w:rPr>
          <w:rFonts w:hint="eastAsia"/>
        </w:rPr>
        <w:t>近日，市发展改革委印发了《关于加强腾退空间和低效楼宇改造利用促进高精尖产业发展的工作方案（试行）》（以下简称《工作方案》），现将政策有关内容解读如下：</w:t>
      </w:r>
    </w:p>
    <w:p w14:paraId="653EF91F" w14:textId="21EA90AA" w:rsidR="00F230FB" w:rsidRPr="00F230FB" w:rsidRDefault="00F230FB" w:rsidP="00F230FB">
      <w:pPr>
        <w:ind w:firstLine="640"/>
        <w:rPr>
          <w:rFonts w:ascii="黑体" w:eastAsia="黑体" w:hAnsi="黑体"/>
        </w:rPr>
      </w:pPr>
      <w:r w:rsidRPr="00F230FB">
        <w:rPr>
          <w:rFonts w:ascii="黑体" w:eastAsia="黑体" w:hAnsi="黑体" w:hint="eastAsia"/>
        </w:rPr>
        <w:t>一、为什么出台《工作方案》？</w:t>
      </w:r>
    </w:p>
    <w:p w14:paraId="4DCB6CC3" w14:textId="2149A924" w:rsidR="00F230FB" w:rsidRDefault="00F230FB" w:rsidP="00F230FB">
      <w:pPr>
        <w:ind w:firstLine="640"/>
      </w:pPr>
      <w:r>
        <w:rPr>
          <w:rFonts w:hint="eastAsia"/>
        </w:rPr>
        <w:t>为更好贯彻落实新发展理念，按照市委市政府城市更新工作有关要求，通过探索政策创新，充分发挥腾退空间和低效楼宇改造对产业高质量发展的支撑作用，形成政府和企业、社会共同推动的强大合力，实现利益共享、多方共赢的机制，更好服务首都发展，特制定《工作方案》。</w:t>
      </w:r>
    </w:p>
    <w:p w14:paraId="0FEE169E" w14:textId="4C959388" w:rsidR="00F230FB" w:rsidRPr="00F230FB" w:rsidRDefault="00F230FB" w:rsidP="00F230FB">
      <w:pPr>
        <w:ind w:firstLine="640"/>
        <w:rPr>
          <w:rFonts w:ascii="黑体" w:eastAsia="黑体" w:hAnsi="黑体"/>
        </w:rPr>
      </w:pPr>
      <w:r w:rsidRPr="00F230FB">
        <w:rPr>
          <w:rFonts w:ascii="黑体" w:eastAsia="黑体" w:hAnsi="黑体" w:hint="eastAsia"/>
        </w:rPr>
        <w:t>二、《工作方案》的实施范围是什么？</w:t>
      </w:r>
    </w:p>
    <w:p w14:paraId="125F0BB1" w14:textId="23A6AF08" w:rsidR="00F230FB" w:rsidRDefault="00F230FB" w:rsidP="00F230FB">
      <w:pPr>
        <w:ind w:firstLine="640"/>
      </w:pPr>
      <w:r>
        <w:rPr>
          <w:rFonts w:hint="eastAsia"/>
        </w:rPr>
        <w:t>此次先行在中心城区和城市副中心范围内开展试点。</w:t>
      </w:r>
    </w:p>
    <w:p w14:paraId="1B173401" w14:textId="607C827C" w:rsidR="00F230FB" w:rsidRPr="00F230FB" w:rsidRDefault="00F230FB" w:rsidP="00F230FB">
      <w:pPr>
        <w:ind w:firstLine="640"/>
        <w:rPr>
          <w:rFonts w:ascii="黑体" w:eastAsia="黑体" w:hAnsi="黑体"/>
        </w:rPr>
      </w:pPr>
      <w:r w:rsidRPr="00F230FB">
        <w:rPr>
          <w:rFonts w:ascii="黑体" w:eastAsia="黑体" w:hAnsi="黑体" w:hint="eastAsia"/>
        </w:rPr>
        <w:t>三、主要支持对象有哪些？</w:t>
      </w:r>
    </w:p>
    <w:p w14:paraId="0E3B9E25" w14:textId="4CC29936" w:rsidR="00F230FB" w:rsidRDefault="00F230FB" w:rsidP="00F230FB">
      <w:pPr>
        <w:ind w:firstLine="640"/>
      </w:pPr>
      <w:r>
        <w:rPr>
          <w:rFonts w:hint="eastAsia"/>
        </w:rPr>
        <w:t>主要支持腾退低效楼宇、老旧厂房以及产业园区内配套基础设施改造，用于发展文化、金融、科技、商务、创新创业服务等现代服务业，新一代信息技术、先进制造等高精尖产业以及现代服务业和高端制造业融合发展的新业态。</w:t>
      </w:r>
    </w:p>
    <w:p w14:paraId="3A036B53" w14:textId="29D0DD32" w:rsidR="00F230FB" w:rsidRPr="00F230FB" w:rsidRDefault="00F230FB" w:rsidP="00F230FB">
      <w:pPr>
        <w:ind w:firstLine="640"/>
        <w:rPr>
          <w:rFonts w:ascii="黑体" w:eastAsia="黑体" w:hAnsi="黑体"/>
        </w:rPr>
      </w:pPr>
      <w:r w:rsidRPr="00F230FB">
        <w:rPr>
          <w:rFonts w:ascii="黑体" w:eastAsia="黑体" w:hAnsi="黑体" w:hint="eastAsia"/>
        </w:rPr>
        <w:t>四、申报项目类型有哪几种？</w:t>
      </w:r>
    </w:p>
    <w:p w14:paraId="1D75F7F9" w14:textId="7C4979C1" w:rsidR="00F230FB" w:rsidRDefault="00F230FB" w:rsidP="00F230FB">
      <w:pPr>
        <w:ind w:firstLine="640"/>
      </w:pPr>
      <w:r>
        <w:rPr>
          <w:rFonts w:hint="eastAsia"/>
        </w:rPr>
        <w:t>一是规模化改造。建筑规模应超过</w:t>
      </w:r>
      <w:r>
        <w:t>3000</w:t>
      </w:r>
      <w:r>
        <w:t>平方米，且同</w:t>
      </w:r>
      <w:proofErr w:type="gramStart"/>
      <w:r>
        <w:t>一实施</w:t>
      </w:r>
      <w:proofErr w:type="gramEnd"/>
      <w:r>
        <w:t>主体开展的同一区域内零星空间改造，达到上述标准也可打捆申报；</w:t>
      </w:r>
    </w:p>
    <w:p w14:paraId="6B1B04BE" w14:textId="0E76BD51" w:rsidR="00F230FB" w:rsidRDefault="00F230FB" w:rsidP="00F230FB">
      <w:pPr>
        <w:ind w:firstLine="640"/>
      </w:pPr>
      <w:r>
        <w:rPr>
          <w:rFonts w:hint="eastAsia"/>
        </w:rPr>
        <w:t>二是定制化改造。对龙头企业、骨干企业或市政府确定</w:t>
      </w:r>
      <w:r>
        <w:rPr>
          <w:rFonts w:hint="eastAsia"/>
        </w:rPr>
        <w:lastRenderedPageBreak/>
        <w:t>的重点项目开展整体定制化改造，对重点企业、重大项目落地形成支撑的项目；</w:t>
      </w:r>
    </w:p>
    <w:p w14:paraId="268BC44D" w14:textId="3B7B9102" w:rsidR="00F230FB" w:rsidRDefault="00F230FB" w:rsidP="00F230FB">
      <w:pPr>
        <w:ind w:firstLine="640"/>
      </w:pPr>
      <w:r>
        <w:rPr>
          <w:rFonts w:hint="eastAsia"/>
        </w:rPr>
        <w:t>三是整合改造。将原来分散产权的腾退低效楼宇、老旧厂房通过转让收购集中为单一产权主体开展改造的项目；</w:t>
      </w:r>
    </w:p>
    <w:p w14:paraId="3D56A456" w14:textId="39137BA7" w:rsidR="00F230FB" w:rsidRDefault="00F230FB" w:rsidP="00F230FB">
      <w:pPr>
        <w:ind w:firstLine="640"/>
      </w:pPr>
      <w:r>
        <w:rPr>
          <w:rFonts w:hint="eastAsia"/>
        </w:rPr>
        <w:t>四是园区统筹改造。整体更新区域内楼宇、老旧厂房等各类产业空间以及道路、绿化等基础设施，构成若干区域性、功能性突出的产业园区更新组团的项目；</w:t>
      </w:r>
    </w:p>
    <w:p w14:paraId="3F61DD85" w14:textId="55FBD47C" w:rsidR="00F230FB" w:rsidRDefault="00F230FB" w:rsidP="00F230FB">
      <w:pPr>
        <w:ind w:firstLine="640"/>
      </w:pPr>
      <w:r>
        <w:rPr>
          <w:rFonts w:hint="eastAsia"/>
        </w:rPr>
        <w:t>五是绿色低碳循环化改造。对建筑本体、照明、空调和供热系统实施节能低碳改造，使用可再生能源，积极打造超低能耗建筑。高标准建设垃圾分类设施，充分利用雨水资源，为绿色技术创新提供应用场景。</w:t>
      </w:r>
    </w:p>
    <w:p w14:paraId="3A4C2179" w14:textId="0A2203E3" w:rsidR="00F230FB" w:rsidRPr="00F230FB" w:rsidRDefault="00F230FB" w:rsidP="00F230FB">
      <w:pPr>
        <w:ind w:firstLine="640"/>
        <w:rPr>
          <w:rFonts w:ascii="黑体" w:eastAsia="黑体" w:hAnsi="黑体"/>
        </w:rPr>
      </w:pPr>
      <w:r w:rsidRPr="00F230FB">
        <w:rPr>
          <w:rFonts w:ascii="黑体" w:eastAsia="黑体" w:hAnsi="黑体" w:hint="eastAsia"/>
        </w:rPr>
        <w:t>五、支持方式有哪些？支持的比例和额度是多少？</w:t>
      </w:r>
    </w:p>
    <w:p w14:paraId="25227AB1" w14:textId="3C32F65C" w:rsidR="00F230FB" w:rsidRDefault="00F230FB" w:rsidP="00F230FB">
      <w:pPr>
        <w:ind w:firstLine="640"/>
      </w:pPr>
      <w:r>
        <w:rPr>
          <w:rFonts w:hint="eastAsia"/>
        </w:rPr>
        <w:t>支持方式分为投资补助和贷款贴息两种，企业可自主选择其中一种申报。</w:t>
      </w:r>
    </w:p>
    <w:p w14:paraId="70D2971F" w14:textId="1794A2B7" w:rsidR="00F230FB" w:rsidRDefault="00F230FB" w:rsidP="00F230FB">
      <w:pPr>
        <w:ind w:firstLine="640"/>
      </w:pPr>
      <w:r>
        <w:rPr>
          <w:rFonts w:hint="eastAsia"/>
        </w:rPr>
        <w:t>投资补助支持：低效楼宇改造项目，按照固定资产投资总额</w:t>
      </w:r>
      <w:r>
        <w:t>10%</w:t>
      </w:r>
      <w:r>
        <w:t>的比例安排补助资金；老旧厂房改造和产业园区内配套基础设施改造项目，按照固定资产投资总额</w:t>
      </w:r>
      <w:r>
        <w:t>30%</w:t>
      </w:r>
      <w:r>
        <w:t>的比例安排补助资金。</w:t>
      </w:r>
    </w:p>
    <w:p w14:paraId="4463A33A" w14:textId="7D2F386D" w:rsidR="00F230FB" w:rsidRDefault="00F230FB" w:rsidP="00F230FB">
      <w:pPr>
        <w:ind w:firstLine="640"/>
      </w:pPr>
      <w:r>
        <w:rPr>
          <w:rFonts w:hint="eastAsia"/>
        </w:rPr>
        <w:t>贷款贴息支持：对于改造升级项目发生的银行贷款，可以按照基准利率给予不超过</w:t>
      </w:r>
      <w:r>
        <w:t>2</w:t>
      </w:r>
      <w:r>
        <w:t>年的贴息支持。</w:t>
      </w:r>
    </w:p>
    <w:p w14:paraId="00451986" w14:textId="52E02D1B" w:rsidR="00F230FB" w:rsidRDefault="00F230FB" w:rsidP="00F230FB">
      <w:pPr>
        <w:ind w:firstLine="640"/>
      </w:pPr>
      <w:r>
        <w:rPr>
          <w:rFonts w:hint="eastAsia"/>
        </w:rPr>
        <w:t>两种方式的资金支持上限均不超过</w:t>
      </w:r>
      <w:r>
        <w:t>5000</w:t>
      </w:r>
      <w:r>
        <w:t>万元。已通过其他渠道获取市级财政资金支持的项目，原则上不再予以支持。</w:t>
      </w:r>
    </w:p>
    <w:p w14:paraId="32DD0AAA" w14:textId="2926DC5A" w:rsidR="00F230FB" w:rsidRPr="00F230FB" w:rsidRDefault="00F230FB" w:rsidP="00F230FB">
      <w:pPr>
        <w:ind w:firstLine="640"/>
        <w:rPr>
          <w:rFonts w:ascii="黑体" w:eastAsia="黑体" w:hAnsi="黑体"/>
        </w:rPr>
      </w:pPr>
      <w:r w:rsidRPr="00F230FB">
        <w:rPr>
          <w:rFonts w:ascii="黑体" w:eastAsia="黑体" w:hAnsi="黑体" w:hint="eastAsia"/>
        </w:rPr>
        <w:t>六、申报流程是什么？申请材料具体需要哪些？</w:t>
      </w:r>
    </w:p>
    <w:p w14:paraId="3D8D490C" w14:textId="5132E924" w:rsidR="00F230FB" w:rsidRDefault="00F230FB" w:rsidP="00F230FB">
      <w:pPr>
        <w:ind w:firstLine="640"/>
      </w:pPr>
      <w:r>
        <w:rPr>
          <w:rFonts w:hint="eastAsia"/>
        </w:rPr>
        <w:lastRenderedPageBreak/>
        <w:t>项目单位原则上应当在项目开工后、竣工前向所在区发展改革委提出资金支持申请，由区发展改革委对项目的真实性、合</w:t>
      </w:r>
      <w:proofErr w:type="gramStart"/>
      <w:r>
        <w:rPr>
          <w:rFonts w:hint="eastAsia"/>
        </w:rPr>
        <w:t>规</w:t>
      </w:r>
      <w:proofErr w:type="gramEnd"/>
      <w:r>
        <w:rPr>
          <w:rFonts w:hint="eastAsia"/>
        </w:rPr>
        <w:t>性、基本建设条件、申报条件、申报材料等进行初审，征求区政府对项目建设的意见后向市发展改革委申报。市发展改革委对项目按程序进行审核和批复。</w:t>
      </w:r>
    </w:p>
    <w:p w14:paraId="378D41CD" w14:textId="309EA529" w:rsidR="00F230FB" w:rsidRDefault="00F230FB" w:rsidP="00F230FB">
      <w:pPr>
        <w:ind w:firstLine="640"/>
      </w:pPr>
      <w:r>
        <w:rPr>
          <w:rFonts w:hint="eastAsia"/>
        </w:rPr>
        <w:t>申报材料应当包含以下文件：项目属地区发展改革委出具的申请资金支持的请示及初审意见；项目立项文件；项目资金申请报告。</w:t>
      </w:r>
    </w:p>
    <w:p w14:paraId="56C5EA03" w14:textId="2C902315" w:rsidR="00F230FB" w:rsidRPr="00F230FB" w:rsidRDefault="00F230FB" w:rsidP="00F230FB">
      <w:pPr>
        <w:ind w:firstLine="640"/>
        <w:rPr>
          <w:rFonts w:ascii="黑体" w:eastAsia="黑体" w:hAnsi="黑体"/>
        </w:rPr>
      </w:pPr>
      <w:r w:rsidRPr="00F230FB">
        <w:rPr>
          <w:rFonts w:ascii="黑体" w:eastAsia="黑体" w:hAnsi="黑体" w:hint="eastAsia"/>
        </w:rPr>
        <w:t>七、支持资金如何拨付？</w:t>
      </w:r>
    </w:p>
    <w:p w14:paraId="3CAA9B30" w14:textId="5060CC72" w:rsidR="00F230FB" w:rsidRDefault="00F230FB" w:rsidP="00F230FB">
      <w:pPr>
        <w:ind w:firstLine="640"/>
      </w:pPr>
      <w:r>
        <w:rPr>
          <w:rFonts w:hint="eastAsia"/>
        </w:rPr>
        <w:t>固定资产投资补助资金将分两批拨付。第一批为项目资金申请报告批复后，拨付补助资金总额的</w:t>
      </w:r>
      <w:r>
        <w:t>70%</w:t>
      </w:r>
      <w:r>
        <w:t>。第二批为项目交付后一年内，经评估符合以下条件中</w:t>
      </w:r>
      <w:r>
        <w:t>2</w:t>
      </w:r>
      <w:r>
        <w:t>条及以上的（其中第</w:t>
      </w:r>
      <w:r>
        <w:t>1</w:t>
      </w:r>
      <w:r>
        <w:t>条必须符合），拨付剩余</w:t>
      </w:r>
      <w:r>
        <w:t>30%</w:t>
      </w:r>
      <w:r>
        <w:t>资金。</w:t>
      </w:r>
    </w:p>
    <w:p w14:paraId="238FDF0F" w14:textId="23F6DBF3" w:rsidR="00F230FB" w:rsidRDefault="00F230FB" w:rsidP="00F230FB">
      <w:pPr>
        <w:ind w:firstLine="640"/>
      </w:pPr>
      <w:r>
        <w:t>1.</w:t>
      </w:r>
      <w:r>
        <w:t>项目改造后综合节能率达到</w:t>
      </w:r>
      <w:r>
        <w:t>15%</w:t>
      </w:r>
      <w:r>
        <w:t>及以上。具备可再生能源利用条件的项目，应当有不少于全部屋面水平投影</w:t>
      </w:r>
      <w:r>
        <w:t>40%</w:t>
      </w:r>
      <w:r>
        <w:t>的面积安装太阳能光伏，供暖采用地源、再生水或空气源热泵等方式。</w:t>
      </w:r>
    </w:p>
    <w:p w14:paraId="30E06032" w14:textId="39A90378" w:rsidR="00F230FB" w:rsidRDefault="00F230FB" w:rsidP="00F230FB">
      <w:pPr>
        <w:ind w:firstLine="640"/>
      </w:pPr>
      <w:r>
        <w:t>2.</w:t>
      </w:r>
      <w:r>
        <w:t>入驻企业符合引导产业方向，且改造后</w:t>
      </w:r>
      <w:proofErr w:type="gramStart"/>
      <w:r>
        <w:t>入驻率</w:t>
      </w:r>
      <w:proofErr w:type="gramEnd"/>
      <w:r>
        <w:t>不低于</w:t>
      </w:r>
      <w:r>
        <w:t>80%</w:t>
      </w:r>
      <w:r>
        <w:t>。</w:t>
      </w:r>
    </w:p>
    <w:p w14:paraId="1B9266CD" w14:textId="25B55C77" w:rsidR="00F230FB" w:rsidRDefault="00F230FB" w:rsidP="00F230FB">
      <w:pPr>
        <w:ind w:firstLine="640"/>
      </w:pPr>
      <w:r>
        <w:t>3.</w:t>
      </w:r>
      <w:r>
        <w:t>落地市级重大产业项目、引入行业龙头企业或区政府认定对产业发展具有重大示范带动效应。</w:t>
      </w:r>
    </w:p>
    <w:p w14:paraId="407DF7EF" w14:textId="0EE942D3" w:rsidR="00F230FB" w:rsidRPr="00F230FB" w:rsidRDefault="00F230FB" w:rsidP="00F230FB">
      <w:pPr>
        <w:ind w:firstLine="640"/>
        <w:rPr>
          <w:rFonts w:ascii="黑体" w:eastAsia="黑体" w:hAnsi="黑体"/>
        </w:rPr>
      </w:pPr>
      <w:r w:rsidRPr="00F230FB">
        <w:rPr>
          <w:rFonts w:ascii="黑体" w:eastAsia="黑体" w:hAnsi="黑体" w:hint="eastAsia"/>
        </w:rPr>
        <w:t>八、补助资金为何采取两批拨付的方式？</w:t>
      </w:r>
    </w:p>
    <w:p w14:paraId="1F1B8A66" w14:textId="38BEE879" w:rsidR="00F230FB" w:rsidRDefault="00F230FB" w:rsidP="00F230FB">
      <w:pPr>
        <w:ind w:firstLine="640"/>
      </w:pPr>
      <w:r>
        <w:rPr>
          <w:rFonts w:hint="eastAsia"/>
        </w:rPr>
        <w:t>资金分批拨付主要是想强化对项目实施的引导和约束作用，一方面强化绿色引导，鼓励项目实施单位在改造中同</w:t>
      </w:r>
      <w:r>
        <w:rPr>
          <w:rFonts w:hint="eastAsia"/>
        </w:rPr>
        <w:lastRenderedPageBreak/>
        <w:t>步开展绿色低碳循环化改造，实现减</w:t>
      </w:r>
      <w:proofErr w:type="gramStart"/>
      <w:r>
        <w:rPr>
          <w:rFonts w:hint="eastAsia"/>
        </w:rPr>
        <w:t>排降碳</w:t>
      </w:r>
      <w:proofErr w:type="gramEnd"/>
      <w:r>
        <w:rPr>
          <w:rFonts w:hint="eastAsia"/>
        </w:rPr>
        <w:t>的目标；另一方面强化产业引导，把好产业准入关，为符合首都功能的高精尖产业发展提供有效的空间资源，实现产业高质量发展。</w:t>
      </w:r>
    </w:p>
    <w:p w14:paraId="56993205" w14:textId="342634A8" w:rsidR="00F230FB" w:rsidRPr="00F230FB" w:rsidRDefault="00F230FB" w:rsidP="00F230FB">
      <w:pPr>
        <w:ind w:firstLine="640"/>
        <w:rPr>
          <w:rFonts w:ascii="黑体" w:eastAsia="黑体" w:hAnsi="黑体"/>
        </w:rPr>
      </w:pPr>
      <w:r w:rsidRPr="00F230FB">
        <w:rPr>
          <w:rFonts w:ascii="黑体" w:eastAsia="黑体" w:hAnsi="黑体" w:hint="eastAsia"/>
        </w:rPr>
        <w:t>九、申报是否有时限和批次要求？</w:t>
      </w:r>
    </w:p>
    <w:p w14:paraId="498CF89C" w14:textId="4E20D8A3" w:rsidR="00F230FB" w:rsidRPr="00F230FB" w:rsidRDefault="00F230FB" w:rsidP="00F230FB">
      <w:pPr>
        <w:ind w:firstLine="640"/>
        <w:rPr>
          <w:rFonts w:hint="eastAsia"/>
        </w:rPr>
      </w:pPr>
      <w:r>
        <w:rPr>
          <w:rFonts w:hint="eastAsia"/>
        </w:rPr>
        <w:t>原则上每年</w:t>
      </w:r>
      <w:r>
        <w:t>2</w:t>
      </w:r>
      <w:r>
        <w:t>次，统一征集、集中办理。</w:t>
      </w:r>
    </w:p>
    <w:sectPr w:rsidR="00F230FB" w:rsidRPr="00F23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FB"/>
    <w:rsid w:val="00790D0A"/>
    <w:rsid w:val="00860961"/>
    <w:rsid w:val="00BA1C49"/>
    <w:rsid w:val="00F230FB"/>
    <w:rsid w:val="00FD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0EB3"/>
  <w15:chartTrackingRefBased/>
  <w15:docId w15:val="{AFB7D229-D268-4844-BFCF-35FB4F4D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49"/>
    <w:pPr>
      <w:widowControl w:val="0"/>
      <w:spacing w:line="560" w:lineRule="exact"/>
      <w:ind w:firstLineChars="200" w:firstLine="200"/>
      <w:jc w:val="both"/>
    </w:pPr>
    <w:rPr>
      <w:rFonts w:eastAsia="仿宋_GB2312"/>
      <w:sz w:val="32"/>
    </w:rPr>
  </w:style>
  <w:style w:type="paragraph" w:styleId="1">
    <w:name w:val="heading 1"/>
    <w:basedOn w:val="a"/>
    <w:next w:val="a"/>
    <w:link w:val="10"/>
    <w:autoRedefine/>
    <w:uiPriority w:val="9"/>
    <w:qFormat/>
    <w:rsid w:val="00FD5FFA"/>
    <w:pPr>
      <w:keepNext/>
      <w:keepLines/>
      <w:spacing w:before="340" w:after="330"/>
      <w:ind w:firstLine="840"/>
      <w:outlineLvl w:val="0"/>
    </w:pPr>
    <w:rPr>
      <w:rFonts w:ascii="微软雅黑" w:eastAsia="方正小标宋简体" w:hAnsi="微软雅黑"/>
      <w:color w:val="3D3D3D"/>
      <w:kern w:val="44"/>
      <w:sz w:val="44"/>
      <w:szCs w:val="42"/>
      <w:shd w:val="clear" w:color="auto" w:fill="FFFFFF"/>
    </w:rPr>
  </w:style>
  <w:style w:type="paragraph" w:styleId="2">
    <w:name w:val="heading 2"/>
    <w:aliases w:val="正文一级标题"/>
    <w:basedOn w:val="a"/>
    <w:link w:val="20"/>
    <w:autoRedefine/>
    <w:uiPriority w:val="9"/>
    <w:qFormat/>
    <w:rsid w:val="00BA1C49"/>
    <w:pPr>
      <w:widowControl/>
      <w:spacing w:before="100" w:beforeAutospacing="1" w:after="100" w:afterAutospacing="1" w:line="240" w:lineRule="auto"/>
      <w:ind w:firstLineChars="0" w:firstLine="0"/>
      <w:jc w:val="center"/>
      <w:outlineLvl w:val="1"/>
    </w:pPr>
    <w:rPr>
      <w:rFonts w:ascii="宋体" w:eastAsia="黑体" w:hAnsi="宋体" w:cs="宋体"/>
      <w:b/>
      <w:bCs/>
      <w:kern w:val="0"/>
      <w:szCs w:val="36"/>
    </w:rPr>
  </w:style>
  <w:style w:type="paragraph" w:styleId="3">
    <w:name w:val="heading 3"/>
    <w:basedOn w:val="a"/>
    <w:next w:val="a"/>
    <w:link w:val="30"/>
    <w:uiPriority w:val="9"/>
    <w:unhideWhenUsed/>
    <w:qFormat/>
    <w:rsid w:val="00F230FB"/>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FFA"/>
    <w:rPr>
      <w:rFonts w:ascii="微软雅黑" w:eastAsia="方正小标宋简体" w:hAnsi="微软雅黑"/>
      <w:color w:val="3D3D3D"/>
      <w:kern w:val="44"/>
      <w:sz w:val="44"/>
      <w:szCs w:val="42"/>
    </w:rPr>
  </w:style>
  <w:style w:type="character" w:customStyle="1" w:styleId="20">
    <w:name w:val="标题 2 字符"/>
    <w:aliases w:val="正文一级标题 字符"/>
    <w:basedOn w:val="a0"/>
    <w:link w:val="2"/>
    <w:uiPriority w:val="9"/>
    <w:rsid w:val="00BA1C49"/>
    <w:rPr>
      <w:rFonts w:ascii="宋体" w:eastAsia="黑体" w:hAnsi="宋体" w:cs="宋体"/>
      <w:b/>
      <w:bCs/>
      <w:kern w:val="0"/>
      <w:sz w:val="32"/>
      <w:szCs w:val="36"/>
    </w:rPr>
  </w:style>
  <w:style w:type="character" w:customStyle="1" w:styleId="30">
    <w:name w:val="标题 3 字符"/>
    <w:basedOn w:val="a0"/>
    <w:link w:val="3"/>
    <w:uiPriority w:val="9"/>
    <w:rsid w:val="00F230FB"/>
    <w:rPr>
      <w:rFonts w:eastAsia="仿宋_GB2312"/>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18501191918@163.com</dc:creator>
  <cp:keywords/>
  <dc:description/>
  <cp:lastModifiedBy>18501191918@163.com</cp:lastModifiedBy>
  <cp:revision>1</cp:revision>
  <dcterms:created xsi:type="dcterms:W3CDTF">2021-06-30T03:16:00Z</dcterms:created>
  <dcterms:modified xsi:type="dcterms:W3CDTF">2021-06-30T03:19:00Z</dcterms:modified>
</cp:coreProperties>
</file>